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64C" w:rsidRPr="00491CD9" w:rsidRDefault="00C3064C" w:rsidP="00491CD9">
      <w:pPr>
        <w:pStyle w:val="Heading1"/>
        <w:shd w:val="clear" w:color="auto" w:fill="FFFFFF"/>
        <w:rPr>
          <w:color w:val="auto"/>
          <w:sz w:val="28"/>
          <w:szCs w:val="28"/>
        </w:rPr>
      </w:pPr>
      <w:r w:rsidRPr="00491CD9">
        <w:rPr>
          <w:color w:val="auto"/>
          <w:sz w:val="28"/>
          <w:szCs w:val="28"/>
        </w:rPr>
        <w:t>Ричард Нисбетт (Richard Nisbett)</w:t>
      </w:r>
    </w:p>
    <w:p w:rsidR="00C3064C" w:rsidRPr="00491CD9" w:rsidRDefault="00C3064C" w:rsidP="00CC362F">
      <w:pPr>
        <w:pStyle w:val="Heading1"/>
        <w:shd w:val="clear" w:color="auto" w:fill="FFFFFF"/>
        <w:jc w:val="center"/>
        <w:rPr>
          <w:b/>
          <w:color w:val="auto"/>
          <w:sz w:val="28"/>
          <w:szCs w:val="28"/>
        </w:rPr>
      </w:pPr>
      <w:r w:rsidRPr="00491CD9">
        <w:rPr>
          <w:b/>
          <w:color w:val="auto"/>
          <w:sz w:val="28"/>
          <w:szCs w:val="28"/>
        </w:rPr>
        <w:t>Запад и Восток: два типа мышления</w:t>
      </w:r>
    </w:p>
    <w:p w:rsidR="00C3064C" w:rsidRPr="00491CD9" w:rsidRDefault="00C3064C" w:rsidP="00CC362F">
      <w:pPr>
        <w:shd w:val="clear" w:color="auto" w:fill="FFFFFF"/>
        <w:spacing w:before="100" w:beforeAutospacing="1" w:after="225" w:line="312" w:lineRule="atLeast"/>
        <w:rPr>
          <w:sz w:val="28"/>
          <w:szCs w:val="28"/>
        </w:rPr>
      </w:pPr>
      <w:r w:rsidRPr="00491CD9">
        <w:rPr>
          <w:sz w:val="28"/>
          <w:szCs w:val="28"/>
        </w:rPr>
        <w:t xml:space="preserve">На Западе и на Востоке за тысячи лет сложились два разных способа осмысления мира. Это показывают многочисленные исследования, в том числе такой маленький тест. Представьте себе курицу, корову и траву. Один из этих предметов лишний. Пожалуйста, подумайте, какой именно. Вы исключили курицу, потому что корова ест траву, а курица здесь ни при чем? Или траву, потому что трава относится к флоре, а корова и курица к фауне? В первом случае у вас восточный (холистский) тип мышления: вас интересует взаимодействие объектов. Восточное мышление не выделяет объект из поля и опирается на опыт, а не на логику. Во втором – западный (аналитический): вы выделяете объект, а затем интересуетесь его свойствами. </w:t>
      </w:r>
    </w:p>
    <w:p w:rsidR="00C3064C" w:rsidRPr="00491CD9" w:rsidRDefault="00C3064C" w:rsidP="00CC362F">
      <w:pPr>
        <w:shd w:val="clear" w:color="auto" w:fill="FFFFFF"/>
        <w:spacing w:before="100" w:beforeAutospacing="1" w:after="225" w:line="312" w:lineRule="atLeast"/>
        <w:rPr>
          <w:sz w:val="28"/>
          <w:szCs w:val="28"/>
        </w:rPr>
      </w:pPr>
      <w:r w:rsidRPr="00491CD9">
        <w:rPr>
          <w:sz w:val="28"/>
          <w:szCs w:val="28"/>
        </w:rPr>
        <w:t>Гипотеза о двух типах мышления возникла в ходе сравнения двух высокоразвитых культур – Древнего Китая и Древней Греции. У древних греков повседневная жизнь была пропитана чувством выбора и отсутствием социальных ограничений, а обычные люди развили в себе такое чувство личного влияния на события, которое не имеет аналогов ни в одной древней цивилизации. Китайцы представляли собой полную противоположность грекам. Там поведение индивида определялось ожиданиями группы. Китайское общество заставляло человека очень сильно чувствовать себя частичкой огромного, сложного и в целом доброжелательного организма и предписывало стремиться в первую очередь к внутригрупповой гармонии.</w:t>
      </w:r>
    </w:p>
    <w:p w:rsidR="00C3064C" w:rsidRPr="00491CD9" w:rsidRDefault="00C3064C" w:rsidP="00CC362F">
      <w:pPr>
        <w:shd w:val="clear" w:color="auto" w:fill="FFFFFF"/>
        <w:rPr>
          <w:b/>
          <w:bCs/>
          <w:sz w:val="28"/>
          <w:szCs w:val="28"/>
        </w:rPr>
      </w:pPr>
      <w:r w:rsidRPr="00491CD9">
        <w:rPr>
          <w:b/>
          <w:bCs/>
          <w:sz w:val="28"/>
          <w:szCs w:val="28"/>
        </w:rPr>
        <w:t>НА ЗАПАДЕ ПРЯМО ЗАЯВЛЯЮТ О НЕСОГЛАСИИ С СОБЕСЕДНИКОМ. НО, ПОСПОРИВ, МОГУТ СПОКОЙНО ОТПРАВИТЬСЯ ОБЕДАТЬ ВМЕСТЕ.</w:t>
      </w:r>
    </w:p>
    <w:p w:rsidR="00C3064C" w:rsidRPr="00491CD9" w:rsidRDefault="00C3064C" w:rsidP="00CC362F">
      <w:pPr>
        <w:shd w:val="clear" w:color="auto" w:fill="FFFFFF"/>
        <w:spacing w:before="100" w:beforeAutospacing="1" w:after="225" w:line="312" w:lineRule="atLeast"/>
        <w:rPr>
          <w:sz w:val="28"/>
          <w:szCs w:val="28"/>
        </w:rPr>
      </w:pPr>
      <w:r w:rsidRPr="00491CD9">
        <w:rPr>
          <w:sz w:val="28"/>
          <w:szCs w:val="28"/>
        </w:rPr>
        <w:t xml:space="preserve">Недавно мы решили сравнить современных людей, выросших в обществах, находящихся под влиянием древней китайской мысли, с людьми, выросшими в обществах, сложившихся под влиянием древнегреческой традиции. Оказалось, что различия между Древними Грецией и Китаем воспроизводятся и среди современных людей! Вот один из экспериментов, который это подтверждает. Участникам показывали виртуальный аквариум на мониторе и фиксировали движение глаз во время разглядывания изображения. Американцы выделяли самый крупный объект: «Три большие рыбы с розовыми плавниками плывут налево». Японцы отмечали зеленый цвет воды, описывали камни и ракушки на дне и среди прочего – плывущих рыб. Для них окружение было не менее важно, чем центральный объект. </w:t>
      </w:r>
    </w:p>
    <w:p w:rsidR="00C3064C" w:rsidRDefault="00C3064C" w:rsidP="00CC362F">
      <w:pPr>
        <w:shd w:val="clear" w:color="auto" w:fill="FFFFFF"/>
        <w:spacing w:before="100" w:beforeAutospacing="1" w:after="225" w:line="312" w:lineRule="atLeast"/>
        <w:rPr>
          <w:sz w:val="28"/>
          <w:szCs w:val="28"/>
        </w:rPr>
      </w:pPr>
      <w:r w:rsidRPr="00491CD9">
        <w:rPr>
          <w:sz w:val="28"/>
          <w:szCs w:val="28"/>
        </w:rPr>
        <w:t>Эти различия в восприятии отражаются и в социальных предпочтениях. Азиаты склонны к коллективизму, американцы – к индивидуализму. В случае возникновения противоречий на Востоке, скорее всего, придут к выводу, что верно и то и другое: открыто выразить несогласие – значит нажить себе врага. На Западе без колебаний заявляют о несогласии с собеседником, но, поспорив, могут преспокойно отправиться вместе обедать. При общении с младенцами американские матери обращают их внимание на различные предметы, а китаянки – на ближайшее окружение. Специальных исследований на материале России не проводилось. Но те немногие данные, которыми мы располагаем, показывают, что Россия ближе к Азии. Так ли это? Вернемся к корове, траве и курице. Как вы ответили на этот вопрос?</w:t>
      </w:r>
    </w:p>
    <w:p w:rsidR="00C3064C" w:rsidRPr="00491CD9" w:rsidRDefault="00C3064C" w:rsidP="003627CE">
      <w:pPr>
        <w:shd w:val="clear" w:color="auto" w:fill="FFFFFF"/>
        <w:spacing w:before="100" w:beforeAutospacing="1" w:after="225" w:line="312" w:lineRule="atLeast"/>
        <w:rPr>
          <w:b/>
          <w:sz w:val="28"/>
          <w:szCs w:val="28"/>
        </w:rPr>
      </w:pPr>
      <w:r>
        <w:rPr>
          <w:sz w:val="28"/>
          <w:szCs w:val="28"/>
        </w:rPr>
        <w:br w:type="page"/>
      </w:r>
      <w:r w:rsidRPr="00491CD9">
        <w:rPr>
          <w:b/>
          <w:sz w:val="28"/>
          <w:szCs w:val="28"/>
        </w:rPr>
        <w:t>Александр Генис</w:t>
      </w:r>
    </w:p>
    <w:p w:rsidR="00C3064C" w:rsidRPr="00491CD9" w:rsidRDefault="00C3064C" w:rsidP="00491CD9">
      <w:pPr>
        <w:pStyle w:val="Heading1"/>
        <w:shd w:val="clear" w:color="auto" w:fill="FFFFFF"/>
        <w:jc w:val="center"/>
        <w:rPr>
          <w:b/>
          <w:color w:val="auto"/>
          <w:sz w:val="28"/>
          <w:szCs w:val="28"/>
        </w:rPr>
      </w:pPr>
      <w:r w:rsidRPr="00491CD9">
        <w:rPr>
          <w:b/>
          <w:color w:val="auto"/>
          <w:sz w:val="28"/>
          <w:szCs w:val="28"/>
        </w:rPr>
        <w:t>Ум хорошо, а два лучше</w:t>
      </w:r>
    </w:p>
    <w:p w:rsidR="00C3064C" w:rsidRPr="00491CD9" w:rsidRDefault="00C3064C" w:rsidP="00491CD9">
      <w:pPr>
        <w:shd w:val="clear" w:color="auto" w:fill="FFFFFF"/>
        <w:spacing w:before="100" w:beforeAutospacing="1" w:after="225" w:line="312" w:lineRule="atLeast"/>
        <w:ind w:firstLine="708"/>
        <w:rPr>
          <w:sz w:val="28"/>
          <w:szCs w:val="28"/>
        </w:rPr>
      </w:pPr>
      <w:r w:rsidRPr="00491CD9">
        <w:rPr>
          <w:sz w:val="28"/>
          <w:szCs w:val="28"/>
        </w:rPr>
        <w:t xml:space="preserve">Двуязычие было нормой большую часть истории. Образованные римляне говорили по-гречески, европейцы – на латыни, русские – по-французски, ну а сейчас все так или иначе изъясняются на английском; даже тогда, когда, путая слова из трех букв, пишут в подъездах «sex», имея в виду совсем другое. То, что в нашей голове помещаются два языка, еще не значит, что они так же легко уживаются друг с другом. Чужой язык притворяется слугой, а становится хозяином. Эту гегелевскую диалектику я каждый день испытываю на себе, живя в Америке. Здесь во мне, как в Печорине, два человека. Один говорит, что думает, другой не думает, что говорит. По-русски мне обычно удается сказать все, что хочется. Но с американцами за меня говорит их язык. Этот диалект мы с женой-филологом называем «Have a nice day». Оказывается, на чужом языке банальным быть проще, чем хамом. Шутки нельзя переводить, даже если очень хочется. Монолог уступает диалогу. Ваты меньше, картону больше. Сальность нуждается в остроумии. Мат ничего не значит. Фамильярность не исключает, а подразумевает вежливость. </w:t>
      </w:r>
    </w:p>
    <w:p w:rsidR="00C3064C" w:rsidRPr="00491CD9" w:rsidRDefault="00C3064C" w:rsidP="00491CD9">
      <w:pPr>
        <w:shd w:val="clear" w:color="auto" w:fill="FFFFFF"/>
        <w:spacing w:before="100" w:beforeAutospacing="1" w:after="225" w:line="312" w:lineRule="atLeast"/>
        <w:ind w:firstLine="708"/>
        <w:rPr>
          <w:sz w:val="28"/>
          <w:szCs w:val="28"/>
        </w:rPr>
      </w:pPr>
      <w:r w:rsidRPr="00491CD9">
        <w:rPr>
          <w:sz w:val="28"/>
          <w:szCs w:val="28"/>
        </w:rPr>
        <w:t>Бродский долго не верил, что на английском можно сказать глупость. Это, конечно, не так, но вот напиться на английском, по-моему, никогда не получается. Неудивительно, что, говоря по-чужому, постепенно перестаешь узнавать себя. Язык исподтишка вползает в душу даже тогда, когда ее нет, как это случилось с газетой Moscow News*. От других печатных органов брежневского времени она отличалась тем, что умела говорить, ничего не сказав, на нескольких языках сразу. Из нее мне удалось (пришлось) узнать, как называется по-английски «передовик социалистического соревнования» и «переходящее красное знамя». Все это кончилось, когда в редакцию взяли настоящего американца. Не меняя содержания, он так отточил форму, что у газеты появился тот вольный дух, который со временем сделал ее флагманом перестройки.</w:t>
      </w:r>
    </w:p>
    <w:p w:rsidR="00C3064C" w:rsidRPr="00491CD9" w:rsidRDefault="00C3064C" w:rsidP="00491CD9">
      <w:pPr>
        <w:shd w:val="clear" w:color="auto" w:fill="FFFFFF"/>
        <w:spacing w:before="100" w:beforeAutospacing="1" w:after="225" w:line="312" w:lineRule="atLeast"/>
        <w:ind w:firstLine="708"/>
        <w:rPr>
          <w:sz w:val="28"/>
          <w:szCs w:val="28"/>
        </w:rPr>
      </w:pPr>
      <w:r w:rsidRPr="00491CD9">
        <w:rPr>
          <w:sz w:val="28"/>
          <w:szCs w:val="28"/>
        </w:rPr>
        <w:t>Ученые говорят, что всякий язык образует собственную Вселенную, путешествуя по которой мы не можем не набраться ума и терпимости. Для меня, впрочем, важнее, что за треть века в Америке я убедился: иностранный язык меняет отношение к родному. Лишь в Нью-Йорке, где языков больше, чем в ООН, русский открыл мне собственную уникальность. Чего стоят уменьшительно-ласкательные суффиксы, способные передать такую гамму эмоций, которая и не снилась сдержанному и мускулистому английскому. Чужая среда обостряет чутье к своему языку. Мы невольно боимся – забыть, испортить, смешать. Может быть, поэтому самую чистую русскую прозу и самые виртуозные русские стихи писали жившие в Америке Довлатов и Бродский. Иногда мне даже кажется, что скоро их придется переводить на новый русский. Эта мысль пришла мне в голову, когда я сказал московскому интервьюеру: «Люблю вкусно поесть». «Топовые продукты, – записал он, – образуют мой тренд».</w:t>
      </w:r>
    </w:p>
    <w:p w:rsidR="00C3064C" w:rsidRPr="00491CD9" w:rsidRDefault="00C3064C" w:rsidP="00491CD9">
      <w:pPr>
        <w:shd w:val="clear" w:color="auto" w:fill="FFFFFF"/>
        <w:spacing w:before="100" w:beforeAutospacing="1" w:after="225" w:line="312" w:lineRule="atLeast"/>
        <w:rPr>
          <w:sz w:val="20"/>
          <w:szCs w:val="20"/>
        </w:rPr>
      </w:pPr>
      <w:r w:rsidRPr="00491CD9">
        <w:rPr>
          <w:sz w:val="20"/>
          <w:szCs w:val="20"/>
        </w:rPr>
        <w:t xml:space="preserve">* Газета выходила с 1930-х годов в Москве на нескольких языках и распространялась в 54 странах. В 1980 году появилась ее русскоязычная версия, главным редактором которой в 1986–1991 годах был Егор Яковлев. </w:t>
      </w:r>
    </w:p>
    <w:p w:rsidR="00C3064C" w:rsidRDefault="00C3064C" w:rsidP="00491CD9">
      <w:pPr>
        <w:spacing w:before="120" w:after="180" w:line="510" w:lineRule="atLeast"/>
        <w:jc w:val="center"/>
        <w:outlineLvl w:val="1"/>
        <w:rPr>
          <w:b/>
          <w:bCs/>
          <w:color w:val="000000"/>
          <w:kern w:val="36"/>
          <w:sz w:val="28"/>
          <w:szCs w:val="28"/>
        </w:rPr>
      </w:pPr>
      <w:r>
        <w:rPr>
          <w:b/>
          <w:bCs/>
          <w:color w:val="000000"/>
          <w:kern w:val="36"/>
          <w:sz w:val="20"/>
          <w:szCs w:val="20"/>
        </w:rPr>
        <w:br w:type="page"/>
      </w:r>
      <w:r w:rsidRPr="00491CD9">
        <w:rPr>
          <w:b/>
          <w:bCs/>
          <w:color w:val="000000"/>
          <w:kern w:val="36"/>
          <w:sz w:val="28"/>
          <w:szCs w:val="28"/>
        </w:rPr>
        <w:t>Разговорная речь</w:t>
      </w:r>
    </w:p>
    <w:p w:rsidR="00C3064C" w:rsidRPr="00491CD9" w:rsidRDefault="00C3064C" w:rsidP="00491CD9">
      <w:pPr>
        <w:spacing w:before="120" w:after="180" w:line="510" w:lineRule="atLeast"/>
        <w:jc w:val="center"/>
        <w:outlineLvl w:val="1"/>
        <w:rPr>
          <w:b/>
          <w:bCs/>
          <w:color w:val="000000"/>
          <w:kern w:val="36"/>
          <w:sz w:val="28"/>
          <w:szCs w:val="28"/>
        </w:rPr>
      </w:pPr>
    </w:p>
    <w:p w:rsidR="00C3064C" w:rsidRPr="00491CD9" w:rsidRDefault="00C3064C" w:rsidP="00491CD9">
      <w:pPr>
        <w:spacing w:line="255" w:lineRule="atLeast"/>
        <w:rPr>
          <w:color w:val="000000"/>
          <w:sz w:val="28"/>
          <w:szCs w:val="28"/>
        </w:rPr>
      </w:pPr>
      <w:r w:rsidRPr="00491CD9">
        <w:rPr>
          <w:rStyle w:val="firstletter1"/>
          <w:rFonts w:ascii="Times New Roman" w:hAnsi="Times New Roman" w:cs="Times New Roman"/>
          <w:color w:val="000000"/>
          <w:sz w:val="28"/>
          <w:szCs w:val="28"/>
        </w:rPr>
        <w:t>К</w:t>
      </w:r>
      <w:r w:rsidRPr="00491CD9">
        <w:rPr>
          <w:rStyle w:val="Strong"/>
          <w:color w:val="000000"/>
          <w:sz w:val="28"/>
          <w:szCs w:val="28"/>
        </w:rPr>
        <w:t xml:space="preserve"> концу года 10 сотрудников Отдела современного русского языка Института русского языка РАН предполагают завершить работу над 1-м томом "Толкового словаря русской разговорной речи". Это колоссальный труд, ведь когда будут созданы все три тома, в них окажутся описанными и разъясненными 12 тысяч слов. </w:t>
      </w:r>
      <w:r w:rsidRPr="00491CD9">
        <w:rPr>
          <w:color w:val="000000"/>
          <w:sz w:val="28"/>
          <w:szCs w:val="28"/>
        </w:rPr>
        <w:br/>
        <w:t> </w:t>
      </w:r>
      <w:r w:rsidRPr="00491CD9">
        <w:rPr>
          <w:color w:val="000000"/>
          <w:sz w:val="28"/>
          <w:szCs w:val="28"/>
        </w:rPr>
        <w:br/>
        <w:t>Человеческую голову можно назвать еще другими словами – башка, кумпол, репа, котелок. Говорят – у тебя что, котелок не варит? Встречалось мне и слово тяма. Что из перечисленного войдет в словарь, а что – нет? На этот вопрос отвечает руководитель авторского коллектива</w:t>
      </w:r>
      <w:r w:rsidRPr="00491CD9">
        <w:rPr>
          <w:rStyle w:val="Strong"/>
          <w:color w:val="000000"/>
          <w:sz w:val="28"/>
          <w:szCs w:val="28"/>
        </w:rPr>
        <w:t xml:space="preserve"> Леонид Крысин</w:t>
      </w:r>
      <w:r w:rsidRPr="00491CD9">
        <w:rPr>
          <w:color w:val="000000"/>
          <w:sz w:val="28"/>
          <w:szCs w:val="28"/>
        </w:rPr>
        <w:t>:</w:t>
      </w:r>
      <w:r w:rsidRPr="00491CD9">
        <w:rPr>
          <w:color w:val="000000"/>
          <w:sz w:val="28"/>
          <w:szCs w:val="28"/>
        </w:rPr>
        <w:br/>
        <w:t> </w:t>
      </w:r>
      <w:r w:rsidRPr="00491CD9">
        <w:rPr>
          <w:color w:val="000000"/>
          <w:sz w:val="28"/>
          <w:szCs w:val="28"/>
        </w:rPr>
        <w:br/>
        <w:t>– Наверняка, не войдет "тяма" и не войдет "репа". Первое – по причине редкости, я даже затрудняюсь сказать, куда оно должно быть отнесено, к какой разновидности русского языка. А "репа" – это чисто жаргонное, молодежное слово. В наш словарь оно не должно войти, потому что это все-таки словарь разговорной, но при этом преимущественно интеллигентской речи, то есть имеется в виду та разговорная речь, которой пользуются образованные городские люди.</w:t>
      </w:r>
      <w:r w:rsidRPr="00491CD9">
        <w:rPr>
          <w:color w:val="000000"/>
          <w:sz w:val="28"/>
          <w:szCs w:val="28"/>
        </w:rPr>
        <w:br/>
        <w:t> </w:t>
      </w:r>
      <w:r w:rsidRPr="00491CD9">
        <w:rPr>
          <w:color w:val="000000"/>
          <w:sz w:val="28"/>
          <w:szCs w:val="28"/>
        </w:rPr>
        <w:br/>
      </w:r>
      <w:r w:rsidRPr="00491CD9">
        <w:rPr>
          <w:rStyle w:val="Strong"/>
          <w:color w:val="000000"/>
          <w:sz w:val="28"/>
          <w:szCs w:val="28"/>
        </w:rPr>
        <w:t>– А упомянутая мной "башка" войдет?</w:t>
      </w:r>
      <w:r w:rsidRPr="00491CD9">
        <w:rPr>
          <w:color w:val="000000"/>
          <w:sz w:val="28"/>
          <w:szCs w:val="28"/>
        </w:rPr>
        <w:br/>
        <w:t> </w:t>
      </w:r>
      <w:r w:rsidRPr="00491CD9">
        <w:rPr>
          <w:color w:val="000000"/>
          <w:sz w:val="28"/>
          <w:szCs w:val="28"/>
        </w:rPr>
        <w:br/>
        <w:t>– "Башка" входит, конечно. "Ударился башкой" – так в какой-то неформальной ситуации человек о себе совершенно спокойно может сказать, даже если он академик. Конечно, мы осуществляем отбор. Чисто жаргонные слова не берутся, а сленг... Слова типа "беспредел", "отморозок" – это тоже жаргонные, и все же, скорее всего, их надо взять. Или "откат". Везде сейчас откаты платят.</w:t>
      </w:r>
      <w:r w:rsidRPr="00491CD9">
        <w:rPr>
          <w:color w:val="000000"/>
          <w:sz w:val="28"/>
          <w:szCs w:val="28"/>
        </w:rPr>
        <w:br/>
        <w:t> </w:t>
      </w:r>
      <w:r w:rsidRPr="00491CD9">
        <w:rPr>
          <w:color w:val="000000"/>
          <w:sz w:val="28"/>
          <w:szCs w:val="28"/>
        </w:rPr>
        <w:br/>
      </w:r>
      <w:r w:rsidRPr="00491CD9">
        <w:rPr>
          <w:rStyle w:val="Strong"/>
          <w:color w:val="000000"/>
          <w:sz w:val="28"/>
          <w:szCs w:val="28"/>
        </w:rPr>
        <w:t>– Названные вами слова откровенно жаргонные, причем, пришли они по большей части из уголовной среды. И что же, вы берете их только потому, что они стали актуальными и частотными?</w:t>
      </w:r>
      <w:r w:rsidRPr="00491CD9">
        <w:rPr>
          <w:color w:val="000000"/>
          <w:sz w:val="28"/>
          <w:szCs w:val="28"/>
        </w:rPr>
        <w:br/>
        <w:t> </w:t>
      </w:r>
      <w:r w:rsidRPr="00491CD9">
        <w:rPr>
          <w:color w:val="000000"/>
          <w:sz w:val="28"/>
          <w:szCs w:val="28"/>
        </w:rPr>
        <w:br/>
        <w:t>– Один из существенных критериев – это их употребительность в речи не носителей уголовного жаргона, не преступников, а обычных городских жителей. Людей читающих, пишущих. К примеру, журналистов, писателей, даже филологов. На базе разных жаргонов сложился так называемый общий сленг. Сленг – это бывшие жаргонизмы, которые сейчас всем известны. Все хорошо знают, что такое "откат", что такое "отморозок", что такое "стрелка" и т. д. Конечно, такого рода слова составляют не центральную часть нашего словаря, а одну из частей, один из разрядов слов, которые мы будем описывать, да и описываем уже.</w:t>
      </w:r>
      <w:r w:rsidRPr="00491CD9">
        <w:rPr>
          <w:color w:val="000000"/>
          <w:sz w:val="28"/>
          <w:szCs w:val="28"/>
        </w:rPr>
        <w:br/>
        <w:t> </w:t>
      </w:r>
      <w:r w:rsidRPr="00491CD9">
        <w:rPr>
          <w:color w:val="000000"/>
          <w:sz w:val="28"/>
          <w:szCs w:val="28"/>
        </w:rPr>
        <w:br/>
      </w:r>
      <w:r w:rsidRPr="00491CD9">
        <w:rPr>
          <w:rStyle w:val="Strong"/>
          <w:color w:val="000000"/>
          <w:sz w:val="28"/>
          <w:szCs w:val="28"/>
        </w:rPr>
        <w:t>– Попадут ли в ваш разговорный словарь слова нейтральной лексики, такие как "голова"?</w:t>
      </w:r>
      <w:r w:rsidRPr="00491CD9">
        <w:rPr>
          <w:color w:val="000000"/>
          <w:sz w:val="28"/>
          <w:szCs w:val="28"/>
        </w:rPr>
        <w:br/>
        <w:t> </w:t>
      </w:r>
      <w:r w:rsidRPr="00491CD9">
        <w:rPr>
          <w:color w:val="000000"/>
          <w:sz w:val="28"/>
          <w:szCs w:val="28"/>
        </w:rPr>
        <w:br/>
        <w:t>– В его основном значении, как часть человеческого тела или как часть тела животного, не попадет. А попадет, допустим, "голова поезда", то есть переносное значение из оппозиции "хвост поезда – голова поезда". Или голова в каких-то фразеологических оборотах. Такого рода слова, как "голова", "рука", "нога" обросли фразеологизмами. Это будет описано.</w:t>
      </w:r>
      <w:r w:rsidRPr="00491CD9">
        <w:rPr>
          <w:color w:val="000000"/>
          <w:sz w:val="28"/>
          <w:szCs w:val="28"/>
        </w:rPr>
        <w:br/>
        <w:t> </w:t>
      </w:r>
      <w:r w:rsidRPr="00491CD9">
        <w:rPr>
          <w:color w:val="000000"/>
          <w:sz w:val="28"/>
          <w:szCs w:val="28"/>
        </w:rPr>
        <w:br/>
      </w:r>
      <w:r w:rsidRPr="00491CD9">
        <w:rPr>
          <w:rStyle w:val="Strong"/>
          <w:color w:val="000000"/>
          <w:sz w:val="28"/>
          <w:szCs w:val="28"/>
        </w:rPr>
        <w:t>– И все же, для чего понадобился этот труд? Разве недостаточно академических словарей, которые фиксируют литературный язык?</w:t>
      </w:r>
      <w:r w:rsidRPr="00491CD9">
        <w:rPr>
          <w:color w:val="000000"/>
          <w:sz w:val="28"/>
          <w:szCs w:val="28"/>
        </w:rPr>
        <w:br/>
        <w:t> </w:t>
      </w:r>
      <w:r w:rsidRPr="00491CD9">
        <w:rPr>
          <w:color w:val="000000"/>
          <w:sz w:val="28"/>
          <w:szCs w:val="28"/>
        </w:rPr>
        <w:br/>
        <w:t>– Недостаточно. Потому что многих слов из тех, что мы описываем в нашем словаре, просто нет в нормативных словарях, современных, подчеркиваю, словарях. Хотя они современные, но все-таки там отбор лексики более строгий. Туда попадают только те слова, которые находятся в рамках лексической литературной нормы. А у нас много такого, что встречается в экспрессивной речи, в эмоциональной речи; в ситуациях, связанных с бытом, с обиходом, с неформальным общением людей. Базой для "Толкового словаря русской разговорной речи" являются работы, которые выполнены в нашем институте в 60-70-е годы прошлого века по инициативе Михаила Викторовича Панова под редакцией Елены Андреевны Земской. Тогда вышел цикл трудов о разговорной речи, в которых есть доскональное описание самого явления. Там все написано – и про слова, и про фонетику, и про синтаксис, и про то, каково произношение, характерное для разговорной речи. Но до сих пор не было словарной разработки этой темы.</w:t>
      </w:r>
      <w:r w:rsidRPr="00491CD9">
        <w:rPr>
          <w:color w:val="000000"/>
          <w:sz w:val="28"/>
          <w:szCs w:val="28"/>
        </w:rPr>
        <w:br/>
        <w:t> </w:t>
      </w:r>
      <w:r w:rsidRPr="00491CD9">
        <w:rPr>
          <w:color w:val="000000"/>
          <w:sz w:val="28"/>
          <w:szCs w:val="28"/>
        </w:rPr>
        <w:br/>
      </w:r>
      <w:r w:rsidRPr="00491CD9">
        <w:rPr>
          <w:rStyle w:val="Strong"/>
          <w:color w:val="000000"/>
          <w:sz w:val="28"/>
          <w:szCs w:val="28"/>
        </w:rPr>
        <w:t>– Как ваш коллектив авторов собирает эти слова? Откуда он их берет?</w:t>
      </w:r>
      <w:r w:rsidRPr="00491CD9">
        <w:rPr>
          <w:color w:val="000000"/>
          <w:sz w:val="28"/>
          <w:szCs w:val="28"/>
        </w:rPr>
        <w:br/>
        <w:t> </w:t>
      </w:r>
      <w:r w:rsidRPr="00491CD9">
        <w:rPr>
          <w:color w:val="000000"/>
          <w:sz w:val="28"/>
          <w:szCs w:val="28"/>
        </w:rPr>
        <w:br/>
        <w:t>– Была очень долгая работа над составлением словника. Начинали мы с обычных академических словарей, брали слова, которые имеют помету "разговорное" или "просторечное". Это была база. А потом наращивали эту базу, черпая слова из записей разговорной речи. У нас в институте довольно богатая фонотека записей разговорной речи. Кроме того, у нас в институте создан Национальный корпус русского языка. Оттуда берутся иллюстративные примеры. И вот в этом словаре объединяются разные пласты. Здесь есть лексика традиционно разговорная, которая известна и старшему поколению. Такой человек совершенно спокойно может сказать, что он расквасил нос. С другой стороны, есть лексика, которая свойственна только молодежи. "Меня переклинило" – конечно, так человек 60-70 лет не скажет. Если только он не переймет это у своих детей или внуков.</w:t>
      </w:r>
      <w:r w:rsidRPr="00491CD9">
        <w:rPr>
          <w:color w:val="000000"/>
          <w:sz w:val="28"/>
          <w:szCs w:val="28"/>
        </w:rPr>
        <w:br/>
        <w:t> </w:t>
      </w:r>
      <w:r w:rsidRPr="00491CD9">
        <w:rPr>
          <w:color w:val="000000"/>
          <w:sz w:val="28"/>
          <w:szCs w:val="28"/>
        </w:rPr>
        <w:br/>
      </w:r>
      <w:r w:rsidRPr="00491CD9">
        <w:rPr>
          <w:rStyle w:val="Strong"/>
          <w:color w:val="000000"/>
          <w:sz w:val="28"/>
          <w:szCs w:val="28"/>
        </w:rPr>
        <w:t>– Как построены словарные статьи?</w:t>
      </w:r>
      <w:r w:rsidRPr="00491CD9">
        <w:rPr>
          <w:color w:val="000000"/>
          <w:sz w:val="28"/>
          <w:szCs w:val="28"/>
        </w:rPr>
        <w:br/>
        <w:t> </w:t>
      </w:r>
      <w:r w:rsidRPr="00491CD9">
        <w:rPr>
          <w:color w:val="000000"/>
          <w:sz w:val="28"/>
          <w:szCs w:val="28"/>
        </w:rPr>
        <w:br/>
        <w:t>– В них довольно строгая последовательность информации. В одной части говорится о том, что значит слово, в другой части говорится, каковы его морфологические и грамматические признаки, в третьей – стилистические признаки, синонимы, антонимы и т. д. Все это разнесено по полочкам. Иногда словарная статья занимает несколько страниц. Так слова типа "гнать", "драть", то же самое слово "голова", точнее, фразеологические обороты на его основе, тоже занимают большое место. В иных случаях достаточно нескольких строк. К примеру, для каких-нибудь разговорных слов назывного характера – "ё-моё" какое-нибудь, междометные слова. При этом у нас есть "ёлки-палки" , но "ёлы-палы" мы не включаем.</w:t>
      </w:r>
      <w:r w:rsidRPr="00491CD9">
        <w:rPr>
          <w:color w:val="000000"/>
          <w:sz w:val="28"/>
          <w:szCs w:val="28"/>
        </w:rPr>
        <w:br/>
        <w:t> </w:t>
      </w:r>
      <w:r w:rsidRPr="00491CD9">
        <w:rPr>
          <w:color w:val="000000"/>
          <w:sz w:val="28"/>
          <w:szCs w:val="28"/>
        </w:rPr>
        <w:br/>
        <w:t>Еще в нашем коллективе были очень большие споры – до крика доходило! – по поводу того, надо ли включать в словарь слабо обсценную лексику. Обсценная – это неприличная, матерная. В результате что-то все же решили включить. В основном – в переносных значениях. В качестве примера приведу глагол "трахать" в переносном значении – "вы меня затрахали своими вопросами, просьбами, жалобами". Такие вещи должны быть описаны, потому что это употребительно. От этого никуда не денешься.</w:t>
      </w:r>
      <w:r w:rsidRPr="00491CD9">
        <w:rPr>
          <w:color w:val="000000"/>
          <w:sz w:val="28"/>
          <w:szCs w:val="28"/>
        </w:rPr>
        <w:br/>
        <w:t> </w:t>
      </w:r>
      <w:r w:rsidRPr="00491CD9">
        <w:rPr>
          <w:color w:val="000000"/>
          <w:sz w:val="28"/>
          <w:szCs w:val="28"/>
        </w:rPr>
        <w:br/>
      </w:r>
      <w:r w:rsidRPr="00491CD9">
        <w:rPr>
          <w:rStyle w:val="Strong"/>
          <w:color w:val="000000"/>
          <w:sz w:val="28"/>
          <w:szCs w:val="28"/>
        </w:rPr>
        <w:t>– Сколь бы сомнительным ни показался кому-то этот пример, он интересен с позиций языка, поскольку здесь имеет место двойной перенос. Первоначально слово "трахать" взято из нейтральной лексики – для более мягкого обозначения полового акта. Затем произошел следующий перенос, для того, чтобы в самой резкой, самой экспрессивной форме дать понять кому-то – вы меня замучили, вы мне надоели.</w:t>
      </w:r>
      <w:r w:rsidRPr="00491CD9">
        <w:rPr>
          <w:color w:val="000000"/>
          <w:sz w:val="28"/>
          <w:szCs w:val="28"/>
        </w:rPr>
        <w:br/>
        <w:t> </w:t>
      </w:r>
      <w:r w:rsidRPr="00491CD9">
        <w:rPr>
          <w:color w:val="000000"/>
          <w:sz w:val="28"/>
          <w:szCs w:val="28"/>
        </w:rPr>
        <w:br/>
        <w:t>– Да, конечно. Будущий читатель нашего словаря встретит еще ряд слов, над которыми мы ломали головы. Скажем, в русской лингвистике совершенно не определен статус слов так называемой детской лексики. Слова типа "писать", "какать". Они тоже должны попасть в такой словарь, потому что либо взрослые их употребляют, общаясь с ребенком, либо сами дети употребляют эти слова. Ничего неприличного в них нет. Они просто обозначают такие малоприятные акты, но это нормально совершено. И это должно быть описано. А в обычных нормативных толковых словарях литературного языка такой лексики, как правило, нет. Получается, мы проходим мимо целых пластов.</w:t>
      </w:r>
      <w:r w:rsidRPr="00491CD9">
        <w:rPr>
          <w:color w:val="000000"/>
          <w:sz w:val="28"/>
          <w:szCs w:val="28"/>
        </w:rPr>
        <w:br/>
        <w:t> </w:t>
      </w:r>
      <w:r w:rsidRPr="00491CD9">
        <w:rPr>
          <w:color w:val="000000"/>
          <w:sz w:val="28"/>
          <w:szCs w:val="28"/>
        </w:rPr>
        <w:br/>
        <w:t xml:space="preserve">Предвижу, что словарь под редакцией Леонида Крысина вызовет досаду у ревнителей чистоты русского языка. Как это уже бывало не раз, начнутся упреки в его "порче", в пропаганде нелитературных вариантов. Любопытно, что при этом такие люди обычно с большой похвалой отзываются о словаре Даля и любят цитировать его. Между тем, в этом памятнике лексикографии тоже отражено состояние живой разговорной речи, только уже далекой от нас эпохи. </w:t>
      </w:r>
    </w:p>
    <w:p w:rsidR="00C3064C" w:rsidRPr="00491CD9" w:rsidRDefault="00C3064C" w:rsidP="000959A9">
      <w:pPr>
        <w:pStyle w:val="Heading2"/>
        <w:jc w:val="both"/>
      </w:pPr>
      <w:r>
        <w:rPr>
          <w:rFonts w:ascii="Times New Roman" w:hAnsi="Times New Roman"/>
        </w:rPr>
        <w:br w:type="page"/>
      </w:r>
      <w:r w:rsidRPr="000959A9">
        <w:rPr>
          <w:rFonts w:ascii="Times New Roman" w:hAnsi="Times New Roman"/>
          <w:color w:val="auto"/>
          <w:sz w:val="28"/>
          <w:szCs w:val="28"/>
        </w:rPr>
        <w:t>Роман КАРПИНСКИЙ</w:t>
      </w:r>
    </w:p>
    <w:p w:rsidR="00C3064C" w:rsidRDefault="00C3064C" w:rsidP="00491CD9">
      <w:pPr>
        <w:pStyle w:val="Heading2"/>
        <w:jc w:val="center"/>
        <w:rPr>
          <w:rFonts w:ascii="Times New Roman" w:hAnsi="Times New Roman"/>
          <w:color w:val="auto"/>
          <w:sz w:val="28"/>
          <w:szCs w:val="28"/>
        </w:rPr>
      </w:pPr>
      <w:r w:rsidRPr="00491CD9">
        <w:rPr>
          <w:rFonts w:ascii="Times New Roman" w:hAnsi="Times New Roman"/>
          <w:color w:val="auto"/>
          <w:sz w:val="28"/>
          <w:szCs w:val="28"/>
        </w:rPr>
        <w:t>В английском языке появилось слово LOL</w:t>
      </w:r>
    </w:p>
    <w:p w:rsidR="00C3064C" w:rsidRPr="00491CD9" w:rsidRDefault="00C3064C" w:rsidP="00491CD9"/>
    <w:p w:rsidR="00C3064C" w:rsidRPr="00491CD9" w:rsidRDefault="00C3064C" w:rsidP="00491CD9">
      <w:pPr>
        <w:rPr>
          <w:sz w:val="28"/>
          <w:szCs w:val="28"/>
        </w:rPr>
      </w:pPr>
      <w:r w:rsidRPr="00491CD9">
        <w:rPr>
          <w:sz w:val="28"/>
          <w:szCs w:val="28"/>
        </w:rPr>
        <w:t xml:space="preserve">Британские </w:t>
      </w:r>
      <w:hyperlink r:id="rId5" w:history="1">
        <w:r w:rsidRPr="00491CD9">
          <w:rPr>
            <w:rStyle w:val="Hyperlink"/>
            <w:b/>
            <w:bCs/>
            <w:color w:val="auto"/>
            <w:sz w:val="28"/>
            <w:szCs w:val="28"/>
            <w:bdr w:val="single" w:sz="2" w:space="0" w:color="00785E" w:frame="1"/>
          </w:rPr>
          <w:t>лингвисты</w:t>
        </w:r>
      </w:hyperlink>
      <w:r w:rsidRPr="00491CD9">
        <w:rPr>
          <w:sz w:val="28"/>
          <w:szCs w:val="28"/>
        </w:rPr>
        <w:t xml:space="preserve"> включили в Оксфордский словарь английского языка два популярных слова из англоязычного интернет-сленга. Это LOL и OMG. Как признали ученые, они давно уже переросли рамки обычных аббревиатур. </w:t>
      </w:r>
    </w:p>
    <w:p w:rsidR="00C3064C" w:rsidRPr="00491CD9" w:rsidRDefault="00C3064C" w:rsidP="00491CD9">
      <w:pPr>
        <w:pStyle w:val="par"/>
        <w:rPr>
          <w:sz w:val="28"/>
          <w:szCs w:val="28"/>
        </w:rPr>
      </w:pPr>
      <w:r w:rsidRPr="00491CD9">
        <w:rPr>
          <w:sz w:val="28"/>
          <w:szCs w:val="28"/>
          <w:lang w:val="en-US"/>
        </w:rPr>
        <w:t xml:space="preserve">LOL </w:t>
      </w:r>
      <w:r w:rsidRPr="00491CD9">
        <w:rPr>
          <w:sz w:val="28"/>
          <w:szCs w:val="28"/>
        </w:rPr>
        <w:t>расшифровывается</w:t>
      </w:r>
      <w:r w:rsidRPr="00491CD9">
        <w:rPr>
          <w:sz w:val="28"/>
          <w:szCs w:val="28"/>
          <w:lang w:val="en-US"/>
        </w:rPr>
        <w:t xml:space="preserve"> </w:t>
      </w:r>
      <w:r w:rsidRPr="00491CD9">
        <w:rPr>
          <w:sz w:val="28"/>
          <w:szCs w:val="28"/>
        </w:rPr>
        <w:t>как</w:t>
      </w:r>
      <w:r w:rsidRPr="00491CD9">
        <w:rPr>
          <w:sz w:val="28"/>
          <w:szCs w:val="28"/>
          <w:lang w:val="en-US"/>
        </w:rPr>
        <w:t xml:space="preserve"> "laughing out loud", </w:t>
      </w:r>
      <w:r w:rsidRPr="00491CD9">
        <w:rPr>
          <w:sz w:val="28"/>
          <w:szCs w:val="28"/>
        </w:rPr>
        <w:t>а</w:t>
      </w:r>
      <w:r w:rsidRPr="00491CD9">
        <w:rPr>
          <w:sz w:val="28"/>
          <w:szCs w:val="28"/>
          <w:lang w:val="en-US"/>
        </w:rPr>
        <w:t xml:space="preserve"> OMG - "oh my God". </w:t>
      </w:r>
      <w:r w:rsidRPr="00491CD9">
        <w:rPr>
          <w:sz w:val="28"/>
          <w:szCs w:val="28"/>
        </w:rPr>
        <w:t xml:space="preserve">Точных соответствий в языке российских пользователей Интернета у них нет. Чаще всего россияне используют заимствованные выражения в русской </w:t>
      </w:r>
      <w:hyperlink r:id="rId6" w:history="1">
        <w:r w:rsidRPr="00491CD9">
          <w:rPr>
            <w:rStyle w:val="Hyperlink"/>
            <w:b/>
            <w:bCs/>
            <w:color w:val="auto"/>
            <w:sz w:val="28"/>
            <w:szCs w:val="28"/>
            <w:bdr w:val="single" w:sz="2" w:space="0" w:color="00785E" w:frame="1"/>
          </w:rPr>
          <w:t>транскрипции</w:t>
        </w:r>
      </w:hyperlink>
      <w:r w:rsidRPr="00491CD9">
        <w:rPr>
          <w:sz w:val="28"/>
          <w:szCs w:val="28"/>
        </w:rPr>
        <w:t xml:space="preserve"> ("лол"). У слова LOL есть и своего рода русский аналог - звукоподражательное "ухахахах". Англоязычные пользователи, отметим, нередко тоже пишут вместо LOL нечто вроде lololol. Слово OMG россияне используют очень редко, но у него тоже есть свой русскоязычный аналог. Правда, нецензурный.</w:t>
      </w:r>
    </w:p>
    <w:p w:rsidR="00C3064C" w:rsidRPr="00491CD9" w:rsidRDefault="00C3064C" w:rsidP="00491CD9">
      <w:pPr>
        <w:pStyle w:val="par"/>
        <w:rPr>
          <w:sz w:val="28"/>
          <w:szCs w:val="28"/>
        </w:rPr>
      </w:pPr>
      <w:r w:rsidRPr="00491CD9">
        <w:rPr>
          <w:sz w:val="28"/>
          <w:szCs w:val="28"/>
        </w:rPr>
        <w:t xml:space="preserve">Подобные жаргонизмы обычны в Интернете, в сообщениях SMS, в сети Twitter, где удобнее использовать аббревиатуры. Для их включения в серьезный словарь требуются более веские основания. "OMG и LOL, в то же время, часто встречаются вне электронного контекста, в печатных текстах и </w:t>
      </w:r>
      <w:hyperlink r:id="rId7" w:history="1">
        <w:r w:rsidRPr="00491CD9">
          <w:rPr>
            <w:rStyle w:val="Hyperlink"/>
            <w:b/>
            <w:bCs/>
            <w:color w:val="auto"/>
            <w:sz w:val="28"/>
            <w:szCs w:val="28"/>
            <w:bdr w:val="single" w:sz="2" w:space="0" w:color="00785E" w:frame="1"/>
          </w:rPr>
          <w:t>даже</w:t>
        </w:r>
      </w:hyperlink>
      <w:r w:rsidRPr="00491CD9">
        <w:rPr>
          <w:sz w:val="28"/>
          <w:szCs w:val="28"/>
        </w:rPr>
        <w:t xml:space="preserve"> в разговорной речи, где они уже стали чем-то большим, чем только аббревиатуры", - признали в редакции Оксфордского словаря.</w:t>
      </w:r>
    </w:p>
    <w:p w:rsidR="00C3064C" w:rsidRPr="00491CD9" w:rsidRDefault="00C3064C" w:rsidP="00491CD9">
      <w:pPr>
        <w:pStyle w:val="par"/>
        <w:rPr>
          <w:sz w:val="28"/>
          <w:szCs w:val="28"/>
        </w:rPr>
      </w:pPr>
      <w:r w:rsidRPr="00491CD9">
        <w:rPr>
          <w:sz w:val="28"/>
          <w:szCs w:val="28"/>
        </w:rPr>
        <w:t xml:space="preserve">Когда российский сленг попадет в </w:t>
      </w:r>
      <w:hyperlink r:id="rId8" w:history="1">
        <w:r w:rsidRPr="00491CD9">
          <w:rPr>
            <w:rStyle w:val="Hyperlink"/>
            <w:b/>
            <w:bCs/>
            <w:color w:val="auto"/>
            <w:sz w:val="28"/>
            <w:szCs w:val="28"/>
            <w:bdr w:val="single" w:sz="2" w:space="0" w:color="00785E" w:frame="1"/>
          </w:rPr>
          <w:t>престижные</w:t>
        </w:r>
      </w:hyperlink>
      <w:r w:rsidRPr="00491CD9">
        <w:rPr>
          <w:sz w:val="28"/>
          <w:szCs w:val="28"/>
        </w:rPr>
        <w:t xml:space="preserve"> словари, пока сказать сложно. Отечественные лингвисты пока не стремятся признавать даже существующую столетиями нецензурщину, но говоря уже о многочисленных неологизмах, вошедших в употребление в последнее время. Например, если слово "сайт" еще можно отыскать в Большом толковом и Орфографическом словарях </w:t>
      </w:r>
    </w:p>
    <w:p w:rsidR="00C3064C" w:rsidRPr="00491CD9" w:rsidRDefault="00C3064C" w:rsidP="00491CD9">
      <w:pPr>
        <w:rPr>
          <w:sz w:val="28"/>
          <w:szCs w:val="28"/>
        </w:rPr>
      </w:pPr>
      <w:r>
        <w:rPr>
          <w:sz w:val="28"/>
          <w:szCs w:val="28"/>
        </w:rPr>
        <w:br w:type="page"/>
      </w:r>
    </w:p>
    <w:tbl>
      <w:tblPr>
        <w:tblW w:w="5000" w:type="pct"/>
        <w:tblCellMar>
          <w:left w:w="0" w:type="dxa"/>
          <w:right w:w="0" w:type="dxa"/>
        </w:tblCellMar>
        <w:tblLook w:val="00A0"/>
      </w:tblPr>
      <w:tblGrid>
        <w:gridCol w:w="9355"/>
      </w:tblGrid>
      <w:tr w:rsidR="00C3064C" w:rsidRPr="000959A9" w:rsidTr="000959A9">
        <w:trPr>
          <w:hidden/>
        </w:trPr>
        <w:tc>
          <w:tcPr>
            <w:tcW w:w="5000" w:type="pct"/>
          </w:tcPr>
          <w:p w:rsidR="00C3064C" w:rsidRPr="000959A9" w:rsidRDefault="00C3064C" w:rsidP="003E6F02">
            <w:pPr>
              <w:spacing w:line="348" w:lineRule="atLeast"/>
              <w:rPr>
                <w:b/>
                <w:sz w:val="28"/>
                <w:szCs w:val="28"/>
              </w:rPr>
            </w:pPr>
            <w:r w:rsidRPr="000959A9">
              <w:rPr>
                <w:vanish/>
                <w:sz w:val="28"/>
                <w:szCs w:val="28"/>
              </w:rPr>
              <w:br w:type="page"/>
            </w:r>
            <w:r w:rsidRPr="000959A9">
              <w:rPr>
                <w:b/>
                <w:sz w:val="28"/>
                <w:szCs w:val="28"/>
              </w:rPr>
              <w:t xml:space="preserve">Георгий Хазагеров    </w:t>
            </w:r>
          </w:p>
        </w:tc>
      </w:tr>
      <w:tr w:rsidR="00C3064C" w:rsidRPr="000959A9" w:rsidTr="003E6F02">
        <w:tc>
          <w:tcPr>
            <w:tcW w:w="0" w:type="auto"/>
          </w:tcPr>
          <w:p w:rsidR="00C3064C" w:rsidRPr="000959A9" w:rsidRDefault="00C3064C" w:rsidP="003E6F02">
            <w:pPr>
              <w:spacing w:line="348" w:lineRule="atLeast"/>
              <w:rPr>
                <w:sz w:val="28"/>
                <w:szCs w:val="28"/>
              </w:rPr>
            </w:pPr>
            <w:r w:rsidRPr="000959A9">
              <w:rPr>
                <w:sz w:val="28"/>
                <w:szCs w:val="28"/>
              </w:rPr>
              <w:t xml:space="preserve">  </w:t>
            </w:r>
          </w:p>
          <w:p w:rsidR="00C3064C" w:rsidRPr="000959A9" w:rsidRDefault="00C3064C" w:rsidP="00491CD9">
            <w:pPr>
              <w:spacing w:before="100" w:beforeAutospacing="1" w:after="100" w:afterAutospacing="1" w:line="348" w:lineRule="atLeast"/>
              <w:jc w:val="center"/>
              <w:rPr>
                <w:b/>
                <w:sz w:val="28"/>
                <w:szCs w:val="28"/>
              </w:rPr>
            </w:pPr>
            <w:r w:rsidRPr="000959A9">
              <w:rPr>
                <w:b/>
                <w:sz w:val="28"/>
                <w:szCs w:val="28"/>
              </w:rPr>
              <w:t>К типологии нормы.</w:t>
            </w:r>
          </w:p>
          <w:p w:rsidR="00C3064C" w:rsidRPr="000959A9" w:rsidRDefault="00C3064C" w:rsidP="00491CD9">
            <w:pPr>
              <w:jc w:val="center"/>
              <w:outlineLvl w:val="0"/>
              <w:rPr>
                <w:b/>
                <w:sz w:val="28"/>
                <w:szCs w:val="28"/>
              </w:rPr>
            </w:pPr>
            <w:r w:rsidRPr="000959A9">
              <w:rPr>
                <w:b/>
                <w:sz w:val="28"/>
                <w:szCs w:val="28"/>
              </w:rPr>
              <w:t>Проблема языковой нормы в связи с понятием «красивого», «возвышенного»   и «эффективного».</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 Речь пойдет о типологии языковой нормы в зависимости от характера нормозадающего механизма. Такой подход обусловлен современной языковой ситуацией, когда констатируется, что художественная литература утратила функцию задания нормы и что такую функцию берут на себя  СМИ [1]. Наряду с частными вопросами о том, как справляются СМИ с этой задачей, активно обсуждаемыми в научной и популярной публицистике, встает и более общий вопрос о природе нормы, заданной СМИ. Но можно поставить этот вопрос и шире: какова природы норм, заданных тем или иным способом?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В основе предлагаемого подхода лежит классификация функций языка, предложенная в свое время Романом Якобсоном [2], и разработанные еще  античной наукой представления о достоинствах речи [3]. Цель подхода – получить всю палитру нормозадающих механизмов, исходя из априорных рассуждений, подкрепив эти рассуждения  историческими прецедентами, а затем проанализировать сильные и слабые  стороны норм того или иного типа. Научный пафос статьи питается представлениями о национальном языке и национальной культуре, как об адаптивных системах, гомеостазах, что позволяет уйти от парадигм «пуризм – прогрессизм», «консерватизм – демократизм», «новое – старое» и т.п. и мыслить в таких категориях, как витальность языка, факторы риска, адаптивность и т.п.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Шесть функций языка, выделенных Р. Якобсоном с учетом компонентов информационного процесса (адресанта, адресата, референта, кода, канала и сообщения), можно сгруппировать в следующую матрицу.</w:t>
            </w:r>
          </w:p>
          <w:tbl>
            <w:tblPr>
              <w:tblW w:w="0" w:type="auto"/>
              <w:tblBorders>
                <w:top w:val="outset" w:sz="6" w:space="0" w:color="auto"/>
                <w:left w:val="outset" w:sz="6" w:space="0" w:color="auto"/>
                <w:bottom w:val="outset" w:sz="6" w:space="0" w:color="auto"/>
                <w:right w:val="outset" w:sz="6" w:space="0" w:color="auto"/>
              </w:tblBorders>
              <w:tblLook w:val="00A0"/>
            </w:tblPr>
            <w:tblGrid>
              <w:gridCol w:w="3117"/>
              <w:gridCol w:w="3121"/>
              <w:gridCol w:w="3097"/>
            </w:tblGrid>
            <w:tr w:rsidR="00C3064C" w:rsidRPr="000959A9" w:rsidTr="00491CD9">
              <w:tc>
                <w:tcPr>
                  <w:tcW w:w="3117" w:type="dxa"/>
                  <w:tcBorders>
                    <w:top w:val="single" w:sz="8" w:space="0" w:color="auto"/>
                    <w:left w:val="single" w:sz="8" w:space="0" w:color="auto"/>
                    <w:bottom w:val="single" w:sz="8" w:space="0" w:color="auto"/>
                    <w:right w:val="single" w:sz="8" w:space="0" w:color="auto"/>
                  </w:tcBorders>
                </w:tcPr>
                <w:p w:rsidR="00C3064C" w:rsidRPr="000959A9" w:rsidRDefault="00C3064C" w:rsidP="003E6F02">
                  <w:pPr>
                    <w:spacing w:before="100" w:beforeAutospacing="1" w:after="100" w:afterAutospacing="1" w:line="348" w:lineRule="atLeast"/>
                    <w:jc w:val="both"/>
                    <w:rPr>
                      <w:sz w:val="28"/>
                      <w:szCs w:val="28"/>
                    </w:rPr>
                  </w:pPr>
                  <w:r w:rsidRPr="000959A9">
                    <w:rPr>
                      <w:sz w:val="28"/>
                      <w:szCs w:val="28"/>
                    </w:rPr>
                    <w:t> экспрессивная</w:t>
                  </w:r>
                </w:p>
              </w:tc>
              <w:tc>
                <w:tcPr>
                  <w:tcW w:w="3121" w:type="dxa"/>
                  <w:tcBorders>
                    <w:top w:val="single" w:sz="8" w:space="0" w:color="auto"/>
                    <w:left w:val="nil"/>
                    <w:bottom w:val="single" w:sz="8" w:space="0" w:color="auto"/>
                    <w:right w:val="single" w:sz="8" w:space="0" w:color="auto"/>
                  </w:tcBorders>
                </w:tcPr>
                <w:p w:rsidR="00C3064C" w:rsidRPr="000959A9" w:rsidRDefault="00C3064C" w:rsidP="003E6F02">
                  <w:pPr>
                    <w:spacing w:before="100" w:beforeAutospacing="1" w:after="100" w:afterAutospacing="1" w:line="348" w:lineRule="atLeast"/>
                    <w:jc w:val="both"/>
                    <w:rPr>
                      <w:sz w:val="28"/>
                      <w:szCs w:val="28"/>
                    </w:rPr>
                  </w:pPr>
                  <w:r w:rsidRPr="000959A9">
                    <w:rPr>
                      <w:sz w:val="28"/>
                      <w:szCs w:val="28"/>
                    </w:rPr>
                    <w:t>референтивная</w:t>
                  </w:r>
                </w:p>
              </w:tc>
              <w:tc>
                <w:tcPr>
                  <w:tcW w:w="3097" w:type="dxa"/>
                  <w:tcBorders>
                    <w:top w:val="single" w:sz="8" w:space="0" w:color="auto"/>
                    <w:left w:val="nil"/>
                    <w:bottom w:val="single" w:sz="8" w:space="0" w:color="auto"/>
                    <w:right w:val="single" w:sz="8" w:space="0" w:color="auto"/>
                  </w:tcBorders>
                </w:tcPr>
                <w:p w:rsidR="00C3064C" w:rsidRPr="000959A9" w:rsidRDefault="00C3064C" w:rsidP="003E6F02">
                  <w:pPr>
                    <w:spacing w:before="100" w:beforeAutospacing="1" w:after="100" w:afterAutospacing="1" w:line="348" w:lineRule="atLeast"/>
                    <w:jc w:val="both"/>
                    <w:rPr>
                      <w:sz w:val="28"/>
                      <w:szCs w:val="28"/>
                    </w:rPr>
                  </w:pPr>
                  <w:r w:rsidRPr="000959A9">
                    <w:rPr>
                      <w:sz w:val="28"/>
                      <w:szCs w:val="28"/>
                    </w:rPr>
                    <w:t>конативная</w:t>
                  </w:r>
                </w:p>
              </w:tc>
            </w:tr>
            <w:tr w:rsidR="00C3064C" w:rsidRPr="000959A9" w:rsidTr="00491CD9">
              <w:tc>
                <w:tcPr>
                  <w:tcW w:w="3117" w:type="dxa"/>
                  <w:tcBorders>
                    <w:top w:val="nil"/>
                    <w:left w:val="single" w:sz="8" w:space="0" w:color="auto"/>
                    <w:bottom w:val="single" w:sz="8" w:space="0" w:color="auto"/>
                    <w:right w:val="single" w:sz="8" w:space="0" w:color="auto"/>
                  </w:tcBorders>
                </w:tcPr>
                <w:p w:rsidR="00C3064C" w:rsidRPr="000959A9" w:rsidRDefault="00C3064C" w:rsidP="003E6F02">
                  <w:pPr>
                    <w:spacing w:before="100" w:beforeAutospacing="1" w:after="100" w:afterAutospacing="1" w:line="348" w:lineRule="atLeast"/>
                    <w:jc w:val="both"/>
                    <w:rPr>
                      <w:sz w:val="28"/>
                      <w:szCs w:val="28"/>
                    </w:rPr>
                  </w:pPr>
                  <w:r w:rsidRPr="000959A9">
                    <w:rPr>
                      <w:sz w:val="28"/>
                      <w:szCs w:val="28"/>
                    </w:rPr>
                    <w:t>поэтическая</w:t>
                  </w:r>
                </w:p>
              </w:tc>
              <w:tc>
                <w:tcPr>
                  <w:tcW w:w="3121" w:type="dxa"/>
                  <w:tcBorders>
                    <w:top w:val="nil"/>
                    <w:left w:val="nil"/>
                    <w:bottom w:val="single" w:sz="8" w:space="0" w:color="auto"/>
                    <w:right w:val="single" w:sz="8" w:space="0" w:color="auto"/>
                  </w:tcBorders>
                </w:tcPr>
                <w:p w:rsidR="00C3064C" w:rsidRPr="000959A9" w:rsidRDefault="00C3064C" w:rsidP="003E6F02">
                  <w:pPr>
                    <w:spacing w:before="100" w:beforeAutospacing="1" w:after="100" w:afterAutospacing="1" w:line="348" w:lineRule="atLeast"/>
                    <w:jc w:val="both"/>
                    <w:rPr>
                      <w:sz w:val="28"/>
                      <w:szCs w:val="28"/>
                    </w:rPr>
                  </w:pPr>
                  <w:r w:rsidRPr="000959A9">
                    <w:rPr>
                      <w:sz w:val="28"/>
                      <w:szCs w:val="28"/>
                    </w:rPr>
                    <w:t>метаязыковая</w:t>
                  </w:r>
                </w:p>
              </w:tc>
              <w:tc>
                <w:tcPr>
                  <w:tcW w:w="3097" w:type="dxa"/>
                  <w:tcBorders>
                    <w:top w:val="nil"/>
                    <w:left w:val="nil"/>
                    <w:bottom w:val="single" w:sz="8" w:space="0" w:color="auto"/>
                    <w:right w:val="single" w:sz="8" w:space="0" w:color="auto"/>
                  </w:tcBorders>
                </w:tcPr>
                <w:p w:rsidR="00C3064C" w:rsidRPr="000959A9" w:rsidRDefault="00C3064C" w:rsidP="003E6F02">
                  <w:pPr>
                    <w:spacing w:before="100" w:beforeAutospacing="1" w:after="100" w:afterAutospacing="1" w:line="348" w:lineRule="atLeast"/>
                    <w:jc w:val="both"/>
                    <w:rPr>
                      <w:sz w:val="28"/>
                      <w:szCs w:val="28"/>
                    </w:rPr>
                  </w:pPr>
                  <w:r w:rsidRPr="000959A9">
                    <w:rPr>
                      <w:sz w:val="28"/>
                      <w:szCs w:val="28"/>
                    </w:rPr>
                    <w:t>фатическая</w:t>
                  </w:r>
                </w:p>
              </w:tc>
            </w:tr>
          </w:tbl>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 Напомним, что каждая функция, по Якобсону, сконцентрирована на каком-либо одном компоненте: экспрессивная (функция выражения) –  на адресанте, референтивная (функция означивания отрезка действительности) – на референте, конативная (функция усвоения информации) – на адресате, поэтическая (концентрация на сообщении как таковом), соответственно,  на сообщении, метаязыковая (отсылка к коду)  – на коде, фатическая (проверка канала) – на канале.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Столбцы и колонки матрицы получены следующим образом. Если оставить компоненты, существующие и вне означивания и передачи знаков, останутся адресант, адресат и референт, т.е. люди и внешний мир вне связи с информационным процессом. Это дает три колонки. Если же, напротив, сосредоточиться только на знаке, мы получим оппозицию: знак и знак знака (метазнак). Так получены строки.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Нижняя строка – самая важная для наших рассуждений –  образует метаблок. Сюда входит метаязыковая функция, поэтическая функция и фатическая. Во всех  трех случаях речь приобретает автонимический характер (характер автореференции).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В первом случае это непосредственно автонимическая речь: «В слове «щенок» два слога» («щенок» репрезентирует не материальный референт, а слово). Здесь все очевидно.</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Во втором случае это саморепрезентация поэтической речи, обнаруживающая ее двуреферентный характер. Так, например, строки из «Шагов командора» Блока «Донна Анна в смертный час твой встанет. Анна встанет в смертный час» наряду с реферированием к вымышленной действительности реферируют сами к себе. В чистом виде это проявляется в их благозвучии. Но даже звукоподражание (строки передают бой часов), хотя и связано с внешним референтом, демонстрирует само себя, как и любой художественный прием.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В третьем случае автонимический характер речи проявляется  в обращении к речевой ситуации: «Алло, алло, ты меня слышишь?» Контактоустанавливающие слова и выражения никакого внешнего по отношению к коммуникации референта не подразумевают.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Первая колонка соответствует иллокуции. Это функции, сгруппированные, вокруг адресанта. На обычном уровне это  функция выражения – эмотивная, или экспрессивная, а на метауровне – поэтическая функция. Группируя так эти функции, мы констатируем устойчивую связь, существующую в сознании носителей языка. Ср., например,  отождествление экспрессии, эмоциональности и художественности в работах отдельных ученых [4]. Связь поэтической функции с адресантом очевидна и из общих соображений. Обе функции связаны с саморепрезентацией говорящего.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Вторая колонка соответствует локуции  Это функции, сосредоточенные вокруг референта: непосредственное обозначение референта в верхней строке и обозначение того, как обозначается референт.</w:t>
            </w:r>
          </w:p>
          <w:p w:rsidR="00C3064C" w:rsidRPr="000959A9" w:rsidRDefault="00C3064C" w:rsidP="00491CD9">
            <w:pPr>
              <w:spacing w:before="100" w:beforeAutospacing="1" w:after="100" w:afterAutospacing="1" w:line="348" w:lineRule="atLeast"/>
              <w:ind w:firstLine="709"/>
              <w:jc w:val="both"/>
              <w:rPr>
                <w:sz w:val="28"/>
                <w:szCs w:val="28"/>
              </w:rPr>
            </w:pPr>
            <w:r w:rsidRPr="000959A9">
              <w:rPr>
                <w:sz w:val="28"/>
                <w:szCs w:val="28"/>
              </w:rPr>
              <w:t>Третья, перлокутивная, колонка вызывает наибольшую сложность из-за недостаточной определенности объема понятия «фатическая функция» и в известной мере из-за того, что теоретико-информационное понятие «канал» не получило должного лингвистического (психолингвистического и социолингвистического) обоснования. Если канал связан с перцепцией, то заканчивается ли он, скажем, телефонной трубкой или устройством ушного аппарата? С другой стороны, если телевидение – это канал, то распространяется ли это только на техническую часть («первый канал», «второй канал» и т.д.) или на все социокультурное явление? По сути дела в нашей таблице на этом месте должна стоять не столько фатическая функция в том или ином понимании, сколько функция, соответствующая усвоению информации адресатом на метауровне. Скорее всего – это экспликация языковой компетенции адресата, куда входит и его возможность понимать информацию, поступившую по тому или иному каналу.  В условиях массовой информации умение воспользоваться каналом очевидным образом выглядит  как часть языковой компетенции.</w:t>
            </w:r>
          </w:p>
          <w:p w:rsidR="00C3064C" w:rsidRPr="000959A9" w:rsidRDefault="00C3064C" w:rsidP="00491CD9">
            <w:pPr>
              <w:spacing w:before="100" w:beforeAutospacing="1" w:after="100" w:afterAutospacing="1" w:line="348" w:lineRule="atLeast"/>
              <w:jc w:val="both"/>
              <w:rPr>
                <w:sz w:val="28"/>
                <w:szCs w:val="28"/>
              </w:rPr>
            </w:pPr>
            <w:r w:rsidRPr="000959A9">
              <w:rPr>
                <w:sz w:val="28"/>
                <w:szCs w:val="28"/>
              </w:rPr>
              <w:t xml:space="preserve">Теперь попробуем поставить в соответствие колонкам нашей матрицы качества, или достоинства речи, выделенные античной наукой и используемые в наши дни не только в рамках стилистики или риторики, но и для успешного разграничения этих и других лингвистических дисциплин [5]. Эти качества нужны нам как способы мотивировать норму. </w:t>
            </w:r>
          </w:p>
          <w:p w:rsidR="00C3064C" w:rsidRPr="000959A9" w:rsidRDefault="00C3064C" w:rsidP="00491CD9">
            <w:pPr>
              <w:spacing w:before="100" w:beforeAutospacing="1" w:after="100" w:afterAutospacing="1" w:line="348" w:lineRule="atLeast"/>
              <w:jc w:val="both"/>
              <w:rPr>
                <w:sz w:val="28"/>
                <w:szCs w:val="28"/>
              </w:rPr>
            </w:pPr>
            <w:r w:rsidRPr="000959A9">
              <w:rPr>
                <w:sz w:val="28"/>
                <w:szCs w:val="28"/>
              </w:rPr>
              <w:t xml:space="preserve">Четырем базовым коммуникативным качествам речи, выделенным Теофрастом и разбираемых Цицероном в трактате «Об ораторе», правильности, уместности, ясности и красоте, соответствует разграничение таких наук и, соответственно, подходов, как ортология (орфография, пунктуация, орфоэпия), связанная с правильностью, функциональная стилистика, связанная с уместностью, риторика, связанная главным образом с ясностью,   и поэтика, литературоведение, изучающие красоту речи. </w:t>
            </w:r>
          </w:p>
          <w:p w:rsidR="00C3064C" w:rsidRPr="000959A9" w:rsidRDefault="00C3064C" w:rsidP="00491CD9">
            <w:pPr>
              <w:spacing w:before="100" w:beforeAutospacing="1" w:after="100" w:afterAutospacing="1" w:line="348" w:lineRule="atLeast"/>
              <w:jc w:val="both"/>
              <w:rPr>
                <w:sz w:val="28"/>
                <w:szCs w:val="28"/>
              </w:rPr>
            </w:pPr>
            <w:r w:rsidRPr="000959A9">
              <w:rPr>
                <w:sz w:val="28"/>
                <w:szCs w:val="28"/>
              </w:rPr>
              <w:t>С нормой напрямую связана правильность, хотя говорят и о стилистической норме (норме в отношении уместности), и об эстетической норме (норме в отношении красоты) и (крайней редко) о риторической норме (норме в отношении ясности). Однако правильность противостоит трем остальным качествам речи, поскольку она есть содержание нормы, а уместность, красота и ясность участвуют в обеспечении нормы, мотивируют норму.</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Таблица функций языка и достоинств речи примет следующий вид.</w:t>
            </w:r>
          </w:p>
          <w:tbl>
            <w:tblPr>
              <w:tblW w:w="0" w:type="auto"/>
              <w:tblBorders>
                <w:top w:val="outset" w:sz="6" w:space="0" w:color="auto"/>
                <w:left w:val="outset" w:sz="6" w:space="0" w:color="auto"/>
                <w:bottom w:val="outset" w:sz="6" w:space="0" w:color="auto"/>
                <w:right w:val="outset" w:sz="6" w:space="0" w:color="auto"/>
              </w:tblBorders>
              <w:tblLook w:val="00A0"/>
            </w:tblPr>
            <w:tblGrid>
              <w:gridCol w:w="3117"/>
              <w:gridCol w:w="3121"/>
              <w:gridCol w:w="3097"/>
            </w:tblGrid>
            <w:tr w:rsidR="00C3064C" w:rsidRPr="000959A9" w:rsidTr="00491CD9">
              <w:tc>
                <w:tcPr>
                  <w:tcW w:w="3117" w:type="dxa"/>
                  <w:tcBorders>
                    <w:top w:val="single" w:sz="8" w:space="0" w:color="auto"/>
                    <w:left w:val="single" w:sz="8" w:space="0" w:color="auto"/>
                    <w:bottom w:val="single" w:sz="8" w:space="0" w:color="auto"/>
                    <w:right w:val="single" w:sz="8" w:space="0" w:color="auto"/>
                  </w:tcBorders>
                </w:tcPr>
                <w:p w:rsidR="00C3064C" w:rsidRPr="000959A9" w:rsidRDefault="00C3064C" w:rsidP="003E6F02">
                  <w:pPr>
                    <w:spacing w:before="100" w:beforeAutospacing="1" w:after="100" w:afterAutospacing="1" w:line="348" w:lineRule="atLeast"/>
                    <w:jc w:val="both"/>
                    <w:rPr>
                      <w:sz w:val="28"/>
                      <w:szCs w:val="28"/>
                    </w:rPr>
                  </w:pPr>
                  <w:r w:rsidRPr="000959A9">
                    <w:rPr>
                      <w:sz w:val="28"/>
                      <w:szCs w:val="28"/>
                    </w:rPr>
                    <w:t> экспрессивная</w:t>
                  </w:r>
                </w:p>
              </w:tc>
              <w:tc>
                <w:tcPr>
                  <w:tcW w:w="3121" w:type="dxa"/>
                  <w:tcBorders>
                    <w:top w:val="single" w:sz="8" w:space="0" w:color="auto"/>
                    <w:left w:val="nil"/>
                    <w:bottom w:val="single" w:sz="8" w:space="0" w:color="auto"/>
                    <w:right w:val="single" w:sz="8" w:space="0" w:color="auto"/>
                  </w:tcBorders>
                </w:tcPr>
                <w:p w:rsidR="00C3064C" w:rsidRPr="000959A9" w:rsidRDefault="00C3064C" w:rsidP="003E6F02">
                  <w:pPr>
                    <w:spacing w:before="100" w:beforeAutospacing="1" w:after="100" w:afterAutospacing="1" w:line="348" w:lineRule="atLeast"/>
                    <w:jc w:val="both"/>
                    <w:rPr>
                      <w:sz w:val="28"/>
                      <w:szCs w:val="28"/>
                    </w:rPr>
                  </w:pPr>
                  <w:r w:rsidRPr="000959A9">
                    <w:rPr>
                      <w:sz w:val="28"/>
                      <w:szCs w:val="28"/>
                    </w:rPr>
                    <w:t>референтивная</w:t>
                  </w:r>
                </w:p>
              </w:tc>
              <w:tc>
                <w:tcPr>
                  <w:tcW w:w="3097" w:type="dxa"/>
                  <w:tcBorders>
                    <w:top w:val="single" w:sz="8" w:space="0" w:color="auto"/>
                    <w:left w:val="nil"/>
                    <w:bottom w:val="single" w:sz="8" w:space="0" w:color="auto"/>
                    <w:right w:val="single" w:sz="8" w:space="0" w:color="auto"/>
                  </w:tcBorders>
                </w:tcPr>
                <w:p w:rsidR="00C3064C" w:rsidRPr="000959A9" w:rsidRDefault="00C3064C" w:rsidP="003E6F02">
                  <w:pPr>
                    <w:spacing w:before="100" w:beforeAutospacing="1" w:after="100" w:afterAutospacing="1" w:line="348" w:lineRule="atLeast"/>
                    <w:jc w:val="both"/>
                    <w:rPr>
                      <w:sz w:val="28"/>
                      <w:szCs w:val="28"/>
                    </w:rPr>
                  </w:pPr>
                  <w:r w:rsidRPr="000959A9">
                    <w:rPr>
                      <w:sz w:val="28"/>
                      <w:szCs w:val="28"/>
                    </w:rPr>
                    <w:t>конативная</w:t>
                  </w:r>
                </w:p>
              </w:tc>
            </w:tr>
            <w:tr w:rsidR="00C3064C" w:rsidRPr="000959A9" w:rsidTr="00491CD9">
              <w:tc>
                <w:tcPr>
                  <w:tcW w:w="3117" w:type="dxa"/>
                  <w:tcBorders>
                    <w:top w:val="nil"/>
                    <w:left w:val="single" w:sz="8" w:space="0" w:color="auto"/>
                    <w:bottom w:val="single" w:sz="8" w:space="0" w:color="auto"/>
                    <w:right w:val="single" w:sz="8" w:space="0" w:color="auto"/>
                  </w:tcBorders>
                </w:tcPr>
                <w:p w:rsidR="00C3064C" w:rsidRPr="000959A9" w:rsidRDefault="00C3064C" w:rsidP="003E6F02">
                  <w:pPr>
                    <w:spacing w:before="100" w:beforeAutospacing="1" w:after="100" w:afterAutospacing="1" w:line="348" w:lineRule="atLeast"/>
                    <w:jc w:val="both"/>
                    <w:rPr>
                      <w:sz w:val="28"/>
                      <w:szCs w:val="28"/>
                    </w:rPr>
                  </w:pPr>
                  <w:r w:rsidRPr="000959A9">
                    <w:rPr>
                      <w:sz w:val="28"/>
                      <w:szCs w:val="28"/>
                    </w:rPr>
                    <w:t>поэтическая</w:t>
                  </w:r>
                </w:p>
              </w:tc>
              <w:tc>
                <w:tcPr>
                  <w:tcW w:w="3121" w:type="dxa"/>
                  <w:tcBorders>
                    <w:top w:val="nil"/>
                    <w:left w:val="nil"/>
                    <w:bottom w:val="single" w:sz="8" w:space="0" w:color="auto"/>
                    <w:right w:val="single" w:sz="8" w:space="0" w:color="auto"/>
                  </w:tcBorders>
                </w:tcPr>
                <w:p w:rsidR="00C3064C" w:rsidRPr="000959A9" w:rsidRDefault="00C3064C" w:rsidP="003E6F02">
                  <w:pPr>
                    <w:spacing w:before="100" w:beforeAutospacing="1" w:after="100" w:afterAutospacing="1" w:line="348" w:lineRule="atLeast"/>
                    <w:jc w:val="both"/>
                    <w:rPr>
                      <w:sz w:val="28"/>
                      <w:szCs w:val="28"/>
                    </w:rPr>
                  </w:pPr>
                  <w:r w:rsidRPr="000959A9">
                    <w:rPr>
                      <w:sz w:val="28"/>
                      <w:szCs w:val="28"/>
                    </w:rPr>
                    <w:t>метаязыковая</w:t>
                  </w:r>
                </w:p>
              </w:tc>
              <w:tc>
                <w:tcPr>
                  <w:tcW w:w="3097" w:type="dxa"/>
                  <w:tcBorders>
                    <w:top w:val="nil"/>
                    <w:left w:val="nil"/>
                    <w:bottom w:val="single" w:sz="8" w:space="0" w:color="auto"/>
                    <w:right w:val="single" w:sz="8" w:space="0" w:color="auto"/>
                  </w:tcBorders>
                </w:tcPr>
                <w:p w:rsidR="00C3064C" w:rsidRPr="000959A9" w:rsidRDefault="00C3064C" w:rsidP="003E6F02">
                  <w:pPr>
                    <w:spacing w:before="100" w:beforeAutospacing="1" w:after="100" w:afterAutospacing="1" w:line="348" w:lineRule="atLeast"/>
                    <w:jc w:val="both"/>
                    <w:rPr>
                      <w:sz w:val="28"/>
                      <w:szCs w:val="28"/>
                    </w:rPr>
                  </w:pPr>
                  <w:r w:rsidRPr="000959A9">
                    <w:rPr>
                      <w:sz w:val="28"/>
                      <w:szCs w:val="28"/>
                    </w:rPr>
                    <w:t>фатическая</w:t>
                  </w:r>
                </w:p>
              </w:tc>
            </w:tr>
            <w:tr w:rsidR="00C3064C" w:rsidRPr="000959A9" w:rsidTr="00491CD9">
              <w:tc>
                <w:tcPr>
                  <w:tcW w:w="3117" w:type="dxa"/>
                  <w:tcBorders>
                    <w:top w:val="nil"/>
                    <w:left w:val="single" w:sz="8" w:space="0" w:color="auto"/>
                    <w:bottom w:val="single" w:sz="8" w:space="0" w:color="auto"/>
                    <w:right w:val="single" w:sz="8" w:space="0" w:color="auto"/>
                  </w:tcBorders>
                </w:tcPr>
                <w:p w:rsidR="00C3064C" w:rsidRPr="000959A9" w:rsidRDefault="00C3064C" w:rsidP="003E6F02">
                  <w:pPr>
                    <w:spacing w:before="100" w:beforeAutospacing="1" w:after="100" w:afterAutospacing="1" w:line="348" w:lineRule="atLeast"/>
                    <w:jc w:val="both"/>
                    <w:rPr>
                      <w:sz w:val="28"/>
                      <w:szCs w:val="28"/>
                    </w:rPr>
                  </w:pPr>
                  <w:r w:rsidRPr="000959A9">
                    <w:rPr>
                      <w:sz w:val="28"/>
                      <w:szCs w:val="28"/>
                    </w:rPr>
                    <w:t>красота</w:t>
                  </w:r>
                </w:p>
              </w:tc>
              <w:tc>
                <w:tcPr>
                  <w:tcW w:w="3121" w:type="dxa"/>
                  <w:tcBorders>
                    <w:top w:val="nil"/>
                    <w:left w:val="nil"/>
                    <w:bottom w:val="single" w:sz="8" w:space="0" w:color="auto"/>
                    <w:right w:val="single" w:sz="8" w:space="0" w:color="auto"/>
                  </w:tcBorders>
                </w:tcPr>
                <w:p w:rsidR="00C3064C" w:rsidRPr="000959A9" w:rsidRDefault="00C3064C" w:rsidP="003E6F02">
                  <w:pPr>
                    <w:spacing w:before="100" w:beforeAutospacing="1" w:after="100" w:afterAutospacing="1" w:line="348" w:lineRule="atLeast"/>
                    <w:jc w:val="both"/>
                    <w:rPr>
                      <w:sz w:val="28"/>
                      <w:szCs w:val="28"/>
                    </w:rPr>
                  </w:pPr>
                  <w:r w:rsidRPr="000959A9">
                    <w:rPr>
                      <w:sz w:val="28"/>
                      <w:szCs w:val="28"/>
                    </w:rPr>
                    <w:t>уместность</w:t>
                  </w:r>
                </w:p>
              </w:tc>
              <w:tc>
                <w:tcPr>
                  <w:tcW w:w="3097" w:type="dxa"/>
                  <w:tcBorders>
                    <w:top w:val="nil"/>
                    <w:left w:val="nil"/>
                    <w:bottom w:val="single" w:sz="8" w:space="0" w:color="auto"/>
                    <w:right w:val="single" w:sz="8" w:space="0" w:color="auto"/>
                  </w:tcBorders>
                </w:tcPr>
                <w:p w:rsidR="00C3064C" w:rsidRPr="000959A9" w:rsidRDefault="00C3064C" w:rsidP="003E6F02">
                  <w:pPr>
                    <w:spacing w:before="100" w:beforeAutospacing="1" w:after="100" w:afterAutospacing="1" w:line="348" w:lineRule="atLeast"/>
                    <w:jc w:val="both"/>
                    <w:rPr>
                      <w:sz w:val="28"/>
                      <w:szCs w:val="28"/>
                    </w:rPr>
                  </w:pPr>
                  <w:r w:rsidRPr="000959A9">
                    <w:rPr>
                      <w:sz w:val="28"/>
                      <w:szCs w:val="28"/>
                    </w:rPr>
                    <w:t>ясность</w:t>
                  </w:r>
                </w:p>
              </w:tc>
            </w:tr>
          </w:tbl>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 Красота, что вполне естественно, связана с поэтической функцией. Это качество, свидетельствующее о самом  наличии этой функции.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Уместность требует некоторых уточнений. Если понимать под уместностью соответствие речевых средств предмету речи, ее связь с референтивной и метаязыковой функцией очевидна. Однако, и это особенно заметно в работах по норме, в понимание  уместности часто включается и категория адресата,  что смешивает уместность с ясностью. Ср.. обычное опасение, связанное с уместностью в широком смысле  слова: «Тебя не так поймут!» Вообще при расширенном понимании уместности (как соответствия речи коммуникативной ситуации) она займет сразу две ячейки внизу нашей таблицы. Но такое понимание неудобно для наших описаний [6]. Поэтому договоримся о том, что под уместностью мы понимаем лишь соответствие языкового выражения предмету речи. Соответствие сфере общения может быть уже следствием того, что данная сфера сосредоточена на данной предметной области.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Ясность в чистом виде – быстрое и правильное понимание речи -  соответствует третьей колонке.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Из априорных соображений можно сделать вывод, а история языка его подтверждает, что задание языковой нормы невозможно без использования метаблока, без выхода за пределы непосредственного языкового общения и обращения к какой-нибудь из метафункций. При этом активно используется соответствующее качество речи. Можно сказать так: метафункция  эксплицирует норму, а соответствующее качество  ее мотивирует.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Задание нормы с опорой на уместность («приличие») в истории русского языка мы находим в теории «трех штилей» Ломоносова.  При таком подходе кодификация неизбежно носит проспективный характер, предшествует практике. В языковой практике самого Ломоносова литературные опыты иллюстрировали теоретические положения, высказанные непосредственно на метаязыке науки. Любопытно, что красота и ясность (соответственно, поэтика и риторика) становились функциями от уместности. Поэтика и риторика превращались в одну большую стилистику (разумеется без этого термина), похожую на современную функциональную стилистику, где роль функциональных стилей играли литературные жанры. В литературоведении подобную поэтику называют нормативной, а в истории риторики применяют термин декорум-риторика [7]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Нормотворческая деятельность выглядит как стратификация средств языка в зависимости от референта. Это особенно заметно в риторике, которой, вообще говоря, такая стратификация противопоказана, так как выглядит ненужным ограничением, налагаемым на речь вне связи с ее эффективностью.  Ср., например, рассуждение о метафорическом переносе в связи проблемой возможности использовать более «низкие» референты для репрезентации более «высоких». : “Но ежели вещи, от которых слово переносится, не очень подлы, то могут прилагательными именами быть повышены и употреблены: так, ежели гром назвать трубою, то будет метафора низка; однако с прилагательным труба небесная будет много выше” [8]  Господствует характерное для стилистики и отрефлектированное гораздо позже (в стилистике Шарля Балли) синонимическое мышление. Озабоченные асимметрией языкового знака, творцы норм стараются преодолеть эту асимметрию привязыванием синонимичных вариантов, главным образом лексических, к областям референции.</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В основе теорий трех стилей, практиковавшихся, как известно, не только в России и не только в ломоносовском варианте,  лежат не представления об эффективности речи, а представления о высоте ее предмета, отчего три стиля толкуются, как высокий, низкий и средний. Это подтверждает предположение о том, что норма может быть задана через метаязыковое описание и может быть мотивирована уместностью в узком смысле этого слова.  Уместность же в свою очередь покоится на понятии о высоком, на категории «возвышенного» [9]. Представление о сферах общения в связи с тремя стилями (в античном Риме о географии общения: город – деревня – провинция), о достоинствах самих говорящих (принадлежность к сословию), о литературных жанрах – следствие метонимии, в основе которой,  безусловно, лежит «высота» самого предмета речи, его близость к небесам, к сакральному, к Богу. Это хорошо отрефлектировано в христианстве в категориях сверхъестественного, естественного и противоестественного. В западном христианстве этому соответствуют три части души (божественная, животная и растительная). В основе трех стилей, по мнению Ю.С. Степанова, лежит противопоставление сакрального и обыденного языка [10]. Это выглядит очень правдоподобно, однако хочется еще раз подчеркнуть, что в основе высоты стиля лежат некие объективированные представления о высоте самих предметов речи, о сакральном, а уж как следствие из этого возникают разные сферы общения, соответствующие этим предметам, и представления о людях, способных в разной степени постигать эти предметы (скажем, литераты, простецы и идиоты).</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Культурная парадигма, способствующая такому заданию нормы, – ценность  знаний, имеющих для общества характер объективных, истинных.  Принятию такой нормы способствует иерархия социальных ценностей и самого социума. </w:t>
            </w:r>
          </w:p>
          <w:p w:rsidR="00C3064C" w:rsidRPr="000959A9" w:rsidRDefault="00C3064C" w:rsidP="00491CD9">
            <w:pPr>
              <w:spacing w:before="100" w:beforeAutospacing="1" w:after="100" w:afterAutospacing="1" w:line="348" w:lineRule="atLeast"/>
              <w:ind w:firstLine="709"/>
              <w:jc w:val="both"/>
              <w:rPr>
                <w:sz w:val="28"/>
                <w:szCs w:val="28"/>
              </w:rPr>
            </w:pPr>
            <w:r w:rsidRPr="000959A9">
              <w:rPr>
                <w:sz w:val="28"/>
                <w:szCs w:val="28"/>
              </w:rPr>
              <w:t xml:space="preserve">Задание нормы с опорой на красоту мы находим на стадии окончательного оформления норм русского литературного языка, в карамзинско-пушкинский период. При таком подходе кодификация носит ретроспективный характер, идет вслед за художественной литературой. Красота и вкус становятся не только заботой поэтов, но и общественно-важными категориями. Теперь, напротив, уместность и ясность трактуются как  функции от красоты. Это очень ярко выражается в пушкинской поэтике и в его теоретических установках. В этот период позиция риторики и в ломоносовском (стилистическая ориентация) и в Аристотелевом (эффективность через ясную убедительность) оказывается ослабленной [11]. Борьба карамзинистов с шишковистами на уровне мотивировок суть борьба изящного с высоким. Наиболее сильными аргументами  одних были аргументы этические, других –  эстетические.   </w:t>
            </w:r>
          </w:p>
          <w:p w:rsidR="00C3064C" w:rsidRPr="000959A9" w:rsidRDefault="00C3064C" w:rsidP="00491CD9">
            <w:pPr>
              <w:spacing w:before="100" w:beforeAutospacing="1" w:after="100" w:afterAutospacing="1" w:line="348" w:lineRule="atLeast"/>
              <w:ind w:firstLine="709"/>
              <w:jc w:val="both"/>
              <w:rPr>
                <w:sz w:val="28"/>
                <w:szCs w:val="28"/>
              </w:rPr>
            </w:pPr>
            <w:r w:rsidRPr="000959A9">
              <w:rPr>
                <w:sz w:val="28"/>
                <w:szCs w:val="28"/>
              </w:rPr>
              <w:t xml:space="preserve">Нормотворческая деятельность проявляется не в референтной стратификации единиц языка, а в приспособлении единиц к иллокутивным  намерениям автора, прежде всего художника. Синонимическое, парадигматческое мышление сменяется гармоническим, синтагматическим. Жанровое мышление сменяется композиционным.  </w:t>
            </w:r>
          </w:p>
          <w:p w:rsidR="00C3064C" w:rsidRPr="000959A9" w:rsidRDefault="00C3064C" w:rsidP="00491CD9">
            <w:pPr>
              <w:spacing w:before="100" w:beforeAutospacing="1" w:after="100" w:afterAutospacing="1" w:line="348" w:lineRule="atLeast"/>
              <w:ind w:firstLine="709"/>
              <w:jc w:val="both"/>
              <w:rPr>
                <w:sz w:val="28"/>
                <w:szCs w:val="28"/>
              </w:rPr>
            </w:pPr>
            <w:r w:rsidRPr="000959A9">
              <w:rPr>
                <w:sz w:val="28"/>
                <w:szCs w:val="28"/>
              </w:rPr>
              <w:t xml:space="preserve">Культурная парадигма, способствующая такому заданию нормы,  – высокая оценка личности художника, высокий статус личности вообще. Концепт гения очень хорошо передает суть того, что можно обозначить как единство эмотивной и поэтической функций языка в индивидуальном языковом употреблении. </w:t>
            </w:r>
          </w:p>
          <w:p w:rsidR="00C3064C" w:rsidRPr="000959A9" w:rsidRDefault="00C3064C" w:rsidP="00491CD9">
            <w:pPr>
              <w:spacing w:before="100" w:beforeAutospacing="1" w:after="100" w:afterAutospacing="1" w:line="348" w:lineRule="atLeast"/>
              <w:jc w:val="both"/>
              <w:rPr>
                <w:sz w:val="28"/>
                <w:szCs w:val="28"/>
              </w:rPr>
            </w:pPr>
            <w:r w:rsidRPr="000959A9">
              <w:rPr>
                <w:sz w:val="28"/>
                <w:szCs w:val="28"/>
              </w:rPr>
              <w:t>Сила нормозадающего механизма состоит в умении оторваться от ближней  прагматики общения, включить механизмы дальней прагматики, имеющей в виду не только сиюминутные коммуникативные цели, но и коллективные цели носителей языка, заинтересованных в создании благоприятных условий для коммуникации.</w:t>
            </w:r>
          </w:p>
          <w:p w:rsidR="00C3064C" w:rsidRPr="000959A9" w:rsidRDefault="00C3064C" w:rsidP="00491CD9">
            <w:pPr>
              <w:spacing w:before="100" w:beforeAutospacing="1" w:after="100" w:afterAutospacing="1" w:line="348" w:lineRule="atLeast"/>
              <w:jc w:val="both"/>
              <w:rPr>
                <w:sz w:val="28"/>
                <w:szCs w:val="28"/>
              </w:rPr>
            </w:pPr>
            <w:r w:rsidRPr="000959A9">
              <w:rPr>
                <w:sz w:val="28"/>
                <w:szCs w:val="28"/>
              </w:rPr>
              <w:t xml:space="preserve">При первом типе задания нормы дальняя прагматика не разлита в обычном дискурсе, а заявляется непосредственно в речи рефлектирующих людей с высоким гражданским весом, способных, опираясь на поддержку власти, влиять на ситуацию. Люди эти  апеллируют к экстралингвистической реальности, в которой есть верх и низ, на базе чего и предлагается нормировать язык. При втором типе дальняя прагматика инициируется опытом изящной словесности с ее отстраненным положением от решения непосредственно житейских задач. Однако разбуженная художеством дальняя прагматика начинает заявлять себя в обычной речи, в виде экспликации языковой моды, так что борьба эстетических установок может проникнуть в обычный разговор, что наблюдаем мы в споре Базарова с Кирсановым («принсипы и прынципы»). Открытая рефлексия идет вслед за художественным словом. Это рефлексия ученых, а не реформаторов, скорее интерпретирующих, чем проектирующих язык, что поддерживается представляли об историзме, о развитии, подчиненном естественным законам.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Задание нормы с опорой на ясность отвечает современной ситуации. Кодификация норм носит не проспективный (такие попытки встречают отпор), но и не ретроспективный (на это тоже находятся противники), а ситуативный, сиюминутный характер, что очень хорошо видно в связи с дискуссией об орфографических изменениях. Реформа орфографии приобретает какой-то беспрецедентный онтологический статус, вступающий в противоречие с законом исключенного третьего. Причем, по-видимому, это не только наша национальная беда.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Введение категории «гибкость нормы» [12], интерес к девиантным употреблениям [13], языковой игре [14] отражает именно ту ситуация, когда норма рождается и умирает в постоянной игре с языковой компетенцией адресата.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Нормозадающая деятельность обнаруживает зависимость от ситуации общения, даже непосредственно от канала («выступление в формате телевидения» и т.д.). Красота, уместность и самая правильность рассматриваются как функции ясности, функции усвоения информации адресатом. Ключевая категория не «красота» или «возвышенное», а «эффективность», достижение сиюминутного эффекта ближней прагматики.  Складывается формула: «Тебя поняли – ты и прав». Даже такое простое рассуждение, как то, что речь, например, письменная может восприниматься не только непосредственным ее адресатом, элиминируется сегодня нашим сознанием.  Успешность речи – ее понимание тем, к кому она обращена. А норма не должна быть помехой успешности. Таков общий ход мысли.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Антиномия этой нормы – невозможность запуска механизмов дальней прагматики. Нет такой речевой деятельности, которая привела бы к формулированию правил, равно пригодных для всех видов общения и не налагающих ограничений на эффективность речи. Речь ученых-лингвистов не может стать такою деятельностью не только из-за того, что  нет никаких шансов на выработку таких правил (это мое предположение), кроме, разве ограничений, выбранных случайным образом, но и потому, что сама по себе эта речь (метаречь) не способна мотивировать языковое поведение носителей языка. Речь СМИ связана ближней прагматикой и нисколько не связана категорией «красоты». Достижение эффективности, помимо высокого и красивого, - это и есть трагедия языка СМИ. Речь художников слова, к сожалению, сегодня неавторитетна или недостаточно авторитетна. </w:t>
            </w:r>
          </w:p>
          <w:p w:rsidR="00C3064C" w:rsidRPr="000959A9" w:rsidRDefault="00C3064C" w:rsidP="003E6F02">
            <w:pPr>
              <w:spacing w:before="100" w:beforeAutospacing="1" w:after="100" w:afterAutospacing="1" w:line="348" w:lineRule="atLeast"/>
              <w:ind w:firstLine="720"/>
              <w:jc w:val="both"/>
              <w:rPr>
                <w:sz w:val="28"/>
                <w:szCs w:val="28"/>
              </w:rPr>
            </w:pPr>
            <w:r w:rsidRPr="000959A9">
              <w:rPr>
                <w:sz w:val="28"/>
                <w:szCs w:val="28"/>
              </w:rPr>
              <w:t xml:space="preserve">В то же время  дальняя прагматика  никогда не была так ярко заявлена в речи, как сегодня. Ведь, собственно, вся эта языковая игра, все эти каламбуры, контаминации и  девиации очень хорошо иллюстрируют мысль Й. Вахека: «Речевые высказывания играют …  роль не динамического посредника, а лаборатории, в которой язык испытывает различные средства к восстановлению своего равновесия»  [15].  Только при нынешнем отсутствии опоры в красивом и высоком эта лаборатория, по-видимому,  не сможет дать «выходную продукцию». результатом может оказаться замена литературного языка своеобразным информационным койне.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Культурная парадигма способствующая современным процессам  – осознание ценности информации и массовое внимание к средствам ее доставки, осознание приоритета прагматики над семантикой, понятие прагматической истины, распространение прагматической философии.</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Норма, заданная уместностью, в состоянии обслужить лишь элиту причем в условиях сословного общества и при поддержке сверху. Это показывает опыт, но это очевидно вытекает и из самой природы такой нормы, расписывающей языковые варианты по референтам и предписывающей эксплицитно заданные алгоритмы такого расписывания. Ясно, что при достаточно сложной жизни, когда количество ключевых референтов будет возрастать и вступать между собой в неиерархические отношения, «теория» спасует перед «практикой». Заповедниками такой нормы останутся искусственно и иерархически организованные страты с ярко выраженной этикетностью общения. Отсюда торжество стилистического мышления в деловой и научно-деловой речи и слабость его в речи художественной, что выражается в расплывчатости самого статуса стилистики художественной речи и даже статуса художественного стиля в составе функциональных стилей языка. Не вполне относится к таким заповедникам и речь церковная. В условиях двуязычия язык церкви мог играть роль литературного языка. Но стратификация стилей внутри самого церковного языка сегодня не выглядит так ранжировано, как в деловой речи. Здесь канон сочетается с установкой на красоту, а высота задана изначально.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Норма, заданная красотой, как показывает опыт, способна охватить самый широкий слой  говорящих, а по времени она оказывается  самой долголетней. В этом также нет ничего удивительного. Нормативность поддерживается не привнесенной извне иерархией, а возобновляющимся контекстом, окружающим художественное слово. Эвфония, эвритмия, эстетическое наслаждение, вызванное самим содержанием – все это «голосует» за норму. Такая норма легко транслируется сверху вниз: из литературных салонов в демократическую среду. Ее уязвимость не в ее характере, а в пока еще мало изученных законах развития художественной литературы,  которая повсеместно утрачивает свой авторитет и самоустраняется из пространства задания нормы.</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Норма, заданная ясностью, то есть та, которая пытается проложить себе дорогу сегодня представляется наиболее противоречивой и неспособной интегрировать языковое сообщество. Заведомое отсутствие красоты и высоты в необъятном море языковой игры – это отсутствие стабилизирующего начала, позволяющего надеяться на долговечность во времени и единство языка в пространстве.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Если вспомнить о трех осях существования языка – синтактике, семантике и прагматике, то можно констатировать, что заявляющая себя сегодня норма-3 одномерна, живет на оси прагматики. Ослабевает даже ее связь с семантикой, а синтактика, как и следовало ожидать, вообще оказывается провальной зоной.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Десемантизация лексики проявляется в утрате языком ингерентной, неконтекстуальной чувствительности к нюансом. Нюансировка смысла чаще всего передается контекстуально, прежде всего  паралингвистически. Большая часть жаргонных слов, а тем более втянутая сегодня в общественное пространство нецензурная лексика вне контекста обладает исключительно обобщенным значением. Отсюда неспособность выражать нюансы мысли в обстановке отложенной прагматики, например, в создании текстов, обращенных к далекой или малознакомой аудитории, тем более тестов, рассчитанных на долгое бытование (художественных книг, эссе, философской публицистики, конституционных контекстов, дидактических текстов). Все это означает дефицит общенациональных текстов, что особенно заметно в политической речи.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Распад синтактики – первый симптом утраты литературой нормозадающей функции. Именно авангардные течения, использующие актуализующий, экспрессивный синтаксис стали первым барьером между художественным словом и нормой. Категория красоты речи опирается не только на адекватное соотношение содержания и формы (это скорее свойство ясной речи), но на гармоничное чередование элементов плана выражения. Все литературные образцы, задавшие норму для нашего языка, отличались эвфонией и особой эвритмией, синтаксической уравновешенностью. Именно сбалансированный синтаксис был той упаковкой, в которой усваивалась лексическая и грамматическая норма. Когда благозвучие сменилось навязчивыми аллитерациями футуристов, а парцеллированный синтаксис стал хорошим тоном, художественное словоупотребление перестало восприниматься как образцовое большинством носителей языка. Из этого, наверное, можно сделать вывод, что существуют какие-то инвариантные законы красоты, некие простые гармонии, отдельные же художественные школы могут либо использовать их, либо их нарушать. Прелесть этих нарушений можно почувствовать лишь в контексте эстетических течений, что для языковой нормы нерелевантно.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О наличие простых синтаксических гармоний свидетельствуют горгианские фигуры и сама судьба их. Горгий, которого в античном мире считали творцом фигур, ввел в употребление фигуры, которые затем занимали в риторике весьма периферийное место и часто не попадали в номенклатуру фигур [16]. Это исоколон и омойотелевтон, то есть равенство синтаксических отрезков и созвучие окончаний этих отрезков. Сам Горгий исходил из принципа «очарования»: фигуры речи убеждают тем, что очаровывают. Отсюда и интерес к ритмизованной речи. Но риторика пошла по пути убеждения через ясность, доходчивость, и, несмотря на авторитет Горгий, горгианские фигуры остались на обочине риторики. Не лишним будет напомнить, что парцелляция и родственная ей синтаксическая аппликация были не только неизвестны древним, но отсутствовали и в теории и на практике до конца девятнадцатого века, а названы были лишь во второй половине двадцатого.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Норма-3 не опирается на синтаксис и даже не в состоянии распространится на него. В сегодняшних устных СМИ все чаще встречается асинтаксия – неспособность построить законченное предложение. В газетной речи путь к асинтаксии расчищают заголовок и врезка, где апосиопезисы, просиопезисы, парцелляции, «осколочные предложения» (по терминологии одного из исследователей заголовка) давно стали обычным явлением. Носителем асинтаксии выступает и слоган. Некоторые слоганы вообще имеют вид анаколуфов, например: «Лучше вкус здоровье ваших зубов».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Дисгармоничность композиции ощущается и за пределами предложения. Любопытно, что при активном использовании фигур речи, в том числе и фигур прибавления [17] фигуры эти редко используются в архитектонической функции (ср. анафоры древнерусского красноречия!). Фигура, даже требующая контекста, используется как изолированный прием, своего рода слоган.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Прогнозировать будущее – неблагодарное занятие, но обозначить позицию филолога в сложившейся ситуации, по-видимому, необходимо. Сегодня эта позиция никак не укладывается в анкетный вопрос: «Считаете ли вы себя пуристом?».  Наверное, дело филолога действовать в интересах интеграции и жизнеспособности литературного языка. Безусловно, переход от нормы-2 к норме-3 связан с активизацией приспособительных механизмов языка. Вопрос только в том, окажется ли эта реакция адекватной тем вызовом, с которым встречается язык. Скажем, современная физиология объясняет нас, как страх способствует тому, что человек научается плавать: он делает непроизвольные движения – прямой аналог языковой игры. Но это же физиология объясняет, что тот же страх как реакция на стресс ведет к неврозу. Иными словами, реакция системы (и притом вполне естественная) может оказаться тупиковой, болезненной, опасной.  Витальность организма. как и национального языка не беспредельна. Если речь идет хотя бы об одном только риске, мы вправе спросить себя: а что мы можем сделать, чтобы этот риск уменьшить?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Паллиативной мерой представляется поддержка норм, заданных классической русской литературой как опирающихся на норму наиболее жизнестойкого типа. Для этого полезно было бы в школьной практике провести черту между экспериментальной и/или навязанной литературой 20 века и той литературой, которая обладала достаточным авторитетом, чтобы без искусственной поддержки нести на себе языковую норму. В школьной литературе слиты два предмета: изучение хрестоматийных  текстов, способных поддержать языковую и нравственную норму в обществе, и изучение собственно истории литературы, истории художественных течений, идейно-художественных исканий. языковых экспериментов. Первый предмет принципиально неисторичен. Второй – сама история.</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Было бы также полезно, отказавшись от литературоцентризма, неуместного в эпоху падения авторитета художественного слова, постараться накапливать и кодифицировать все красивое, созданное и создаваемое помимо художественного слова: проповеди, политические речи,  тексты русских  филологов, таких как Ю.М. Лотман, Д.С. Лихачев. Можно было бы задуматься над созданием зон с отложенной прагматикой в рамках  СМИ.</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Разумеется, решением всех проблем было бы появление ярких общепризнанных имен, чья речь вследствие своей красоты становилась бы объектом подражания. но это бы уже означало возврат к норме первого типа и с ней уход от опасного края развития литературного языка.  Можно ли в условиях несословного общества инициировать ситуацию появления языковой элиты созданием элитного заведения типа пушкинского лицея  - вопрос открытый.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Во всех случаях актуальной задачей и для филолога, и для социолога является изучение поэтической функции языка вне узко литературоведческих целей. Категория красоты речи остается все еще малоизученной. Об этом говорят путанные определения эвфонии, синтаксического периода, данные в лингвистических словарях. В арсенале современной риторики и стилистики отсутствуют термины «ритмическое равновесие», «исоколон», «омойотелефтон» и прочие из этого же ряда.  Наряду с изучением красоты речи имеет значение и популяризация красивой речи, развитие языкового вкуса. </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«Культура речи» как социальный проект, воспроизводящий скорее ломоносовскую, чем пушкинскую  линию, наверное,  тоже заслуживает одобрения. Особый интерес представляло бы изучение категории «возвышенного», выдвинутой еще в эпоху позднего эллинизма Псевдо-Лонгиным, а также популяризация возвышенной речи, ибо здесь ощутима общественная лакуна.. </w:t>
            </w:r>
          </w:p>
          <w:p w:rsidR="00C3064C" w:rsidRPr="000959A9" w:rsidRDefault="00C3064C" w:rsidP="00491CD9">
            <w:pPr>
              <w:spacing w:before="100" w:beforeAutospacing="1" w:after="100" w:afterAutospacing="1" w:line="348" w:lineRule="atLeast"/>
              <w:ind w:firstLine="709"/>
              <w:jc w:val="both"/>
              <w:rPr>
                <w:sz w:val="28"/>
                <w:szCs w:val="28"/>
              </w:rPr>
            </w:pPr>
            <w:r w:rsidRPr="000959A9">
              <w:rPr>
                <w:sz w:val="28"/>
                <w:szCs w:val="28"/>
              </w:rPr>
              <w:t>Но самое главное все же – это уяснение современной языковой ситуации, ее уникальности, ее несводимости к имеющимся в нашем запасе категориям. Вопрос о норме требует гораздо более глубокой разработки, чем это мы видим сегодня. Те, кто изучают язык профессионально, должны признать с должной научной честностью, что речь идет не о наплыве жаргона, заимствований и т.д., на что у них на устах готовые рецепты и заверения в ординарности происходящего, а о совершенно новых явлениях, представляющих известный вызов языку и культуре. Лингвисты не всеведущи, и то, с чем мы сталкиваемся сегодня, им неизвестно.       </w:t>
            </w:r>
          </w:p>
          <w:p w:rsidR="00C3064C" w:rsidRPr="000959A9" w:rsidRDefault="00C3064C" w:rsidP="00491CD9">
            <w:pPr>
              <w:spacing w:before="100" w:beforeAutospacing="1" w:after="100" w:afterAutospacing="1" w:line="348" w:lineRule="atLeast"/>
              <w:jc w:val="center"/>
              <w:rPr>
                <w:sz w:val="28"/>
                <w:szCs w:val="28"/>
              </w:rPr>
            </w:pPr>
            <w:r w:rsidRPr="000959A9">
              <w:rPr>
                <w:sz w:val="28"/>
                <w:szCs w:val="28"/>
              </w:rPr>
              <w:t>Примечания</w:t>
            </w:r>
          </w:p>
          <w:p w:rsidR="00C3064C" w:rsidRPr="000959A9" w:rsidRDefault="00C3064C" w:rsidP="003E6F02">
            <w:pPr>
              <w:spacing w:before="100" w:beforeAutospacing="1" w:after="100" w:afterAutospacing="1" w:line="348" w:lineRule="atLeast"/>
              <w:rPr>
                <w:sz w:val="28"/>
                <w:szCs w:val="28"/>
              </w:rPr>
            </w:pPr>
            <w:r w:rsidRPr="000959A9">
              <w:rPr>
                <w:sz w:val="28"/>
                <w:szCs w:val="28"/>
              </w:rPr>
              <w:t>1. Так, Г.П. Немищенко заключает: «К концу столетия язык художественной литературы утрачивает нормотворческую значимость. Восприемником этой функции становится язык медиальных средств, причем прежде всего СМИ устных». См.: Немищенко Г.П. Динамика речевого стандарта современной публичной вербальной коммуникации: проблемы, тенденции развития // ВЯ, № 1, 2001, с. 100.</w:t>
            </w:r>
          </w:p>
          <w:p w:rsidR="00C3064C" w:rsidRPr="000959A9" w:rsidRDefault="00C3064C" w:rsidP="003E6F02">
            <w:pPr>
              <w:spacing w:before="100" w:beforeAutospacing="1" w:after="100" w:afterAutospacing="1" w:line="348" w:lineRule="atLeast"/>
              <w:rPr>
                <w:sz w:val="28"/>
                <w:szCs w:val="28"/>
              </w:rPr>
            </w:pPr>
            <w:r w:rsidRPr="000959A9">
              <w:rPr>
                <w:sz w:val="28"/>
                <w:szCs w:val="28"/>
              </w:rPr>
              <w:t xml:space="preserve"> 2. Якобсон Р.О.  Лингвистика  и  поэтика  // Структурализм: "за" и "против". М., 1975. </w:t>
            </w:r>
          </w:p>
          <w:p w:rsidR="00C3064C" w:rsidRPr="000959A9" w:rsidRDefault="00C3064C" w:rsidP="003E6F02">
            <w:pPr>
              <w:spacing w:before="100" w:beforeAutospacing="1" w:after="100" w:afterAutospacing="1" w:line="348" w:lineRule="atLeast"/>
              <w:rPr>
                <w:sz w:val="28"/>
                <w:szCs w:val="28"/>
              </w:rPr>
            </w:pPr>
            <w:r w:rsidRPr="000959A9">
              <w:rPr>
                <w:sz w:val="28"/>
                <w:szCs w:val="28"/>
              </w:rPr>
              <w:t>3. Отрывки из античных авторов, перечисляющих и определяющих качества речи, компактно даны в сб.: Античные теории языка и стиля, М.-Л., 1936. См. также: Головин Б.Н. О качествах хорошей речи //Русский язык в школе, 1964, № 2, 1965, № 1.</w:t>
            </w:r>
          </w:p>
          <w:p w:rsidR="00C3064C" w:rsidRPr="000959A9" w:rsidRDefault="00C3064C" w:rsidP="003E6F02">
            <w:pPr>
              <w:spacing w:before="100" w:beforeAutospacing="1" w:after="100" w:afterAutospacing="1" w:line="348" w:lineRule="atLeast"/>
              <w:rPr>
                <w:sz w:val="28"/>
                <w:szCs w:val="28"/>
              </w:rPr>
            </w:pPr>
            <w:r w:rsidRPr="000959A9">
              <w:rPr>
                <w:sz w:val="28"/>
                <w:szCs w:val="28"/>
              </w:rPr>
              <w:t xml:space="preserve">4. См., например, Савченко А.Н. Образно-эмоциональная функция речи и поэтическая речь. Ростов-на-Дону, 1978. </w:t>
            </w:r>
          </w:p>
          <w:p w:rsidR="00C3064C" w:rsidRPr="000959A9" w:rsidRDefault="00C3064C" w:rsidP="003E6F02">
            <w:pPr>
              <w:spacing w:before="100" w:beforeAutospacing="1" w:after="100" w:afterAutospacing="1" w:line="348" w:lineRule="atLeast"/>
              <w:rPr>
                <w:sz w:val="28"/>
                <w:szCs w:val="28"/>
              </w:rPr>
            </w:pPr>
            <w:r w:rsidRPr="000959A9">
              <w:rPr>
                <w:sz w:val="28"/>
                <w:szCs w:val="28"/>
              </w:rPr>
              <w:t>5. Так, Т.Г. Хазагеров и Л.С. Ширина отграничивают на базе достоинств речи риторику от смежных дисциплин. См. : Хазагеров Т.Г., Ширина Л.С. Общая риторика, Ростов-на-Дону, 1999, с. 33-35.</w:t>
            </w:r>
          </w:p>
          <w:p w:rsidR="00C3064C" w:rsidRPr="000959A9" w:rsidRDefault="00C3064C" w:rsidP="003E6F02">
            <w:pPr>
              <w:spacing w:before="100" w:beforeAutospacing="1" w:after="100" w:afterAutospacing="1" w:line="348" w:lineRule="atLeast"/>
              <w:rPr>
                <w:sz w:val="28"/>
                <w:szCs w:val="28"/>
              </w:rPr>
            </w:pPr>
            <w:r w:rsidRPr="000959A9">
              <w:rPr>
                <w:sz w:val="28"/>
                <w:szCs w:val="28"/>
              </w:rPr>
              <w:t xml:space="preserve">6. Узкое и широкое понимание уместности не наше изобретение. Его можно найти уже у античных авторов. Так, Диоген Вавилонский дает определение уместности в узком смысле: «Уместность есть выражение, соответствующее предмету» (цит. по кн.: Античные теории языка и стиля, с. 191). Сходным образом высказывается и Цицерон, но поясняет: «Те, кто, распоряжаясь средствами речи, видоизменяют их в зависимости от характеров и лиц, те заслуживают похвалы за то, что я называю согласованностью и соответствием с предметом» (там же, с. 196). Сам термин </w:t>
            </w:r>
            <w:r w:rsidRPr="000959A9">
              <w:rPr>
                <w:sz w:val="28"/>
                <w:szCs w:val="28"/>
              </w:rPr>
              <w:t></w:t>
            </w:r>
            <w:r w:rsidRPr="000959A9">
              <w:rPr>
                <w:sz w:val="28"/>
                <w:szCs w:val="28"/>
              </w:rPr>
              <w:t xml:space="preserve"> </w:t>
            </w:r>
            <w:r w:rsidRPr="000959A9">
              <w:rPr>
                <w:sz w:val="28"/>
                <w:szCs w:val="28"/>
              </w:rPr>
              <w:t></w:t>
            </w:r>
            <w:r w:rsidRPr="000959A9">
              <w:rPr>
                <w:sz w:val="28"/>
                <w:szCs w:val="28"/>
              </w:rPr>
              <w:t></w:t>
            </w:r>
            <w:r w:rsidRPr="000959A9">
              <w:rPr>
                <w:sz w:val="28"/>
                <w:szCs w:val="28"/>
              </w:rPr>
              <w:t></w:t>
            </w:r>
            <w:r w:rsidRPr="000959A9">
              <w:rPr>
                <w:sz w:val="28"/>
                <w:szCs w:val="28"/>
              </w:rPr>
              <w:t></w:t>
            </w:r>
            <w:r w:rsidRPr="000959A9">
              <w:rPr>
                <w:sz w:val="28"/>
                <w:szCs w:val="28"/>
              </w:rPr>
              <w:t></w:t>
            </w:r>
            <w:r w:rsidRPr="000959A9">
              <w:rPr>
                <w:sz w:val="28"/>
                <w:szCs w:val="28"/>
              </w:rPr>
              <w:t xml:space="preserve"> означает лишь «подходящее, подобающее». Лат. decorum – «приличие, пристойность, достоинство», что больше подходит для узкого понимания.  </w:t>
            </w:r>
          </w:p>
          <w:p w:rsidR="00C3064C" w:rsidRPr="000959A9" w:rsidRDefault="00C3064C" w:rsidP="003E6F02">
            <w:pPr>
              <w:spacing w:before="100" w:beforeAutospacing="1" w:after="100" w:afterAutospacing="1" w:line="348" w:lineRule="atLeast"/>
              <w:rPr>
                <w:sz w:val="28"/>
                <w:szCs w:val="28"/>
              </w:rPr>
            </w:pPr>
            <w:r w:rsidRPr="000959A9">
              <w:rPr>
                <w:sz w:val="28"/>
                <w:szCs w:val="28"/>
              </w:rPr>
              <w:t>7. См. Лахманн Р. Два этапа риторики "приличия" (decorum) - риторика Макария и "Искусство риторики" Феофана Прокоповича// Развитие барокко и зарождение классицизма в России XVII - начала XVIII в.М., "Наука", 1989.</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8. Ломоносов М.В. Краткое руководство о риторике на пользу любителей сладкоречия // Ломоносов М.В. Собр.соч. Т. 7. с. 252.</w:t>
            </w:r>
          </w:p>
          <w:p w:rsidR="00C3064C" w:rsidRPr="000959A9" w:rsidRDefault="00C3064C" w:rsidP="003E6F02">
            <w:pPr>
              <w:spacing w:before="100" w:beforeAutospacing="1" w:after="100" w:afterAutospacing="1" w:line="348" w:lineRule="atLeast"/>
              <w:ind w:firstLine="709"/>
              <w:jc w:val="both"/>
              <w:rPr>
                <w:sz w:val="28"/>
                <w:szCs w:val="28"/>
              </w:rPr>
            </w:pPr>
            <w:r w:rsidRPr="000959A9">
              <w:rPr>
                <w:sz w:val="28"/>
                <w:szCs w:val="28"/>
              </w:rPr>
              <w:t xml:space="preserve">9. Впервые о «возвышенном», не отождествляя его с прекрасным, в специальном трактате написал автор первого века Псевдо-Лонгин (См.: Псевдо-Лонгин О возвышенном, М.-Л., 1968). Но идея связи высокого с божественным, а низкого с земным проявились уже в делении стилей по высоте. Лат. термин для сниженного стиля этимологически связан с землей. Humilatio (рит.) – сниженное описание, греческий гетероним - связан со значениями «низко расположенный, обыденный, ничтож ный». Однако греческое деление на аттический, родосский и азианский стили не связано с иерархией.   </w:t>
            </w:r>
          </w:p>
          <w:p w:rsidR="00C3064C" w:rsidRPr="000959A9" w:rsidRDefault="00C3064C" w:rsidP="003E6F02">
            <w:pPr>
              <w:spacing w:before="100" w:beforeAutospacing="1" w:after="100" w:afterAutospacing="1" w:line="348" w:lineRule="atLeast"/>
              <w:rPr>
                <w:sz w:val="28"/>
                <w:szCs w:val="28"/>
              </w:rPr>
            </w:pPr>
            <w:r w:rsidRPr="000959A9">
              <w:rPr>
                <w:sz w:val="28"/>
                <w:szCs w:val="28"/>
              </w:rPr>
              <w:t>10. Степанов Ю. С. Стиль // Лингвистический энциклопедический словарь, М., 1990, с. 494.</w:t>
            </w:r>
          </w:p>
          <w:p w:rsidR="00C3064C" w:rsidRPr="000959A9" w:rsidRDefault="00C3064C" w:rsidP="003E6F02">
            <w:pPr>
              <w:spacing w:before="100" w:beforeAutospacing="1" w:after="100" w:afterAutospacing="1" w:line="348" w:lineRule="atLeast"/>
              <w:rPr>
                <w:sz w:val="28"/>
                <w:szCs w:val="28"/>
              </w:rPr>
            </w:pPr>
            <w:r w:rsidRPr="000959A9">
              <w:rPr>
                <w:sz w:val="28"/>
                <w:szCs w:val="28"/>
              </w:rPr>
              <w:t>11. В этом отношении показательна рецензия на неплохую риторику Николая Кошанского, написанная таким чувствительным к идеям времени автором, как Белинский. См. : Белинский В.Г. Общая риторика Н.Ф. Кошанского // В.Г. Белинский Полн. собр. соч., Т. 8. Известно, что ни то сам Кошанский, ни его предмет не пользовались в пушкинском лицее признательностью учеников.</w:t>
            </w:r>
          </w:p>
          <w:p w:rsidR="00C3064C" w:rsidRPr="000959A9" w:rsidRDefault="00C3064C" w:rsidP="003E6F02">
            <w:pPr>
              <w:spacing w:before="100" w:beforeAutospacing="1" w:after="100" w:afterAutospacing="1" w:line="348" w:lineRule="atLeast"/>
              <w:rPr>
                <w:sz w:val="28"/>
                <w:szCs w:val="28"/>
              </w:rPr>
            </w:pPr>
            <w:r w:rsidRPr="000959A9">
              <w:rPr>
                <w:sz w:val="28"/>
                <w:szCs w:val="28"/>
              </w:rPr>
              <w:t>12. Гибкость нормы.</w:t>
            </w:r>
          </w:p>
          <w:p w:rsidR="00C3064C" w:rsidRPr="000959A9" w:rsidRDefault="00C3064C" w:rsidP="003E6F02">
            <w:pPr>
              <w:spacing w:before="100" w:beforeAutospacing="1" w:after="100" w:afterAutospacing="1" w:line="348" w:lineRule="atLeast"/>
              <w:rPr>
                <w:sz w:val="28"/>
                <w:szCs w:val="28"/>
              </w:rPr>
            </w:pPr>
            <w:r w:rsidRPr="000959A9">
              <w:rPr>
                <w:sz w:val="28"/>
                <w:szCs w:val="28"/>
              </w:rPr>
              <w:t>13. Интенциональные употребления.</w:t>
            </w:r>
          </w:p>
          <w:p w:rsidR="00C3064C" w:rsidRPr="000959A9" w:rsidRDefault="00C3064C" w:rsidP="003E6F02">
            <w:pPr>
              <w:spacing w:before="100" w:beforeAutospacing="1" w:after="100" w:afterAutospacing="1" w:line="348" w:lineRule="atLeast"/>
              <w:rPr>
                <w:sz w:val="28"/>
                <w:szCs w:val="28"/>
              </w:rPr>
            </w:pPr>
            <w:r w:rsidRPr="000959A9">
              <w:rPr>
                <w:sz w:val="28"/>
                <w:szCs w:val="28"/>
              </w:rPr>
              <w:t>14. Специально этому феномена посвящена работа В.З. Санникова Русский язык в аспекте языковой игры, М., 1999.</w:t>
            </w:r>
          </w:p>
          <w:p w:rsidR="00C3064C" w:rsidRPr="000959A9" w:rsidRDefault="00C3064C" w:rsidP="003E6F02">
            <w:pPr>
              <w:spacing w:before="100" w:beforeAutospacing="1" w:after="100" w:afterAutospacing="1" w:line="348" w:lineRule="atLeast"/>
              <w:ind w:firstLine="720"/>
              <w:jc w:val="both"/>
              <w:rPr>
                <w:sz w:val="28"/>
                <w:szCs w:val="28"/>
              </w:rPr>
            </w:pPr>
            <w:r w:rsidRPr="000959A9">
              <w:rPr>
                <w:sz w:val="28"/>
                <w:szCs w:val="28"/>
              </w:rPr>
              <w:t>15. Вахек Й. К проблеме письменного языка //Пражский лингвистический кружок, М., «Прогресс», 1967, с. 526.</w:t>
            </w:r>
          </w:p>
          <w:p w:rsidR="00C3064C" w:rsidRPr="000959A9" w:rsidRDefault="00C3064C" w:rsidP="003E6F02">
            <w:pPr>
              <w:spacing w:before="100" w:beforeAutospacing="1" w:after="100" w:afterAutospacing="1" w:line="348" w:lineRule="atLeast"/>
              <w:rPr>
                <w:sz w:val="28"/>
                <w:szCs w:val="28"/>
              </w:rPr>
            </w:pPr>
            <w:r w:rsidRPr="000959A9">
              <w:rPr>
                <w:sz w:val="28"/>
                <w:szCs w:val="28"/>
              </w:rPr>
              <w:t>16. Горгианские фигуры.</w:t>
            </w:r>
          </w:p>
          <w:p w:rsidR="00C3064C" w:rsidRPr="000959A9" w:rsidRDefault="00C3064C" w:rsidP="003E6F02">
            <w:pPr>
              <w:spacing w:before="100" w:beforeAutospacing="1" w:after="100" w:afterAutospacing="1" w:line="348" w:lineRule="atLeast"/>
              <w:rPr>
                <w:sz w:val="28"/>
                <w:szCs w:val="28"/>
              </w:rPr>
            </w:pPr>
            <w:r w:rsidRPr="000959A9">
              <w:rPr>
                <w:sz w:val="28"/>
                <w:szCs w:val="28"/>
              </w:rPr>
              <w:t xml:space="preserve">17. А.П. Сковородников отмечает: «Для современных газетных текстов (имеется в виду последнее десятилетие) по сравнению с газетными текстами доперестроечного времени, т.е. до середины 80-х годов, характерны возросшие частотность и разнообразие семантических фигур при сохранении при сохранении того же уровня и разнообразия фигур синтаксических» (Сковородников А.П. Фигуры речи в современной российской прессе // Филологические науки, № 3, 2001, с. 74). Автор отмечает, что употребление последнего вида фигур, куда входят и фигуры прибавления, сочетается с разговорной и грубо-просторечной лексикой. Ясно, что при таком словоупотреблении фигуры не тяготеют к композиционным приемам. Точечному употреблению фигур соответствует и названная автором тенденция к использованию так называемых семантических фигур. </w:t>
            </w:r>
          </w:p>
        </w:tc>
      </w:tr>
    </w:tbl>
    <w:p w:rsidR="00C3064C" w:rsidRPr="000959A9" w:rsidRDefault="00C3064C" w:rsidP="00491CD9">
      <w:pPr>
        <w:rPr>
          <w:sz w:val="28"/>
          <w:szCs w:val="28"/>
        </w:rPr>
      </w:pPr>
    </w:p>
    <w:p w:rsidR="00C3064C" w:rsidRPr="000959A9" w:rsidRDefault="00C3064C">
      <w:pPr>
        <w:rPr>
          <w:sz w:val="28"/>
          <w:szCs w:val="28"/>
        </w:rPr>
      </w:pPr>
    </w:p>
    <w:sectPr w:rsidR="00C3064C" w:rsidRPr="000959A9" w:rsidSect="009A51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FF7982"/>
    <w:multiLevelType w:val="multilevel"/>
    <w:tmpl w:val="651A3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362F"/>
    <w:rsid w:val="000959A9"/>
    <w:rsid w:val="001135EE"/>
    <w:rsid w:val="002E5B32"/>
    <w:rsid w:val="003627CE"/>
    <w:rsid w:val="003E6F02"/>
    <w:rsid w:val="0044508C"/>
    <w:rsid w:val="00491CD9"/>
    <w:rsid w:val="004D4458"/>
    <w:rsid w:val="009A5113"/>
    <w:rsid w:val="00A21AD7"/>
    <w:rsid w:val="00B93378"/>
    <w:rsid w:val="00C3064C"/>
    <w:rsid w:val="00CC362F"/>
    <w:rsid w:val="00D2656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62F"/>
    <w:rPr>
      <w:rFonts w:ascii="Times New Roman" w:eastAsia="Times New Roman" w:hAnsi="Times New Roman"/>
      <w:sz w:val="24"/>
      <w:szCs w:val="24"/>
    </w:rPr>
  </w:style>
  <w:style w:type="paragraph" w:styleId="Heading1">
    <w:name w:val="heading 1"/>
    <w:basedOn w:val="Normal"/>
    <w:link w:val="Heading1Char"/>
    <w:uiPriority w:val="99"/>
    <w:qFormat/>
    <w:rsid w:val="00CC362F"/>
    <w:pPr>
      <w:spacing w:before="100" w:beforeAutospacing="1" w:after="100" w:afterAutospacing="1"/>
      <w:outlineLvl w:val="0"/>
    </w:pPr>
    <w:rPr>
      <w:color w:val="B4282E"/>
      <w:kern w:val="36"/>
      <w:sz w:val="48"/>
      <w:szCs w:val="48"/>
    </w:rPr>
  </w:style>
  <w:style w:type="paragraph" w:styleId="Heading2">
    <w:name w:val="heading 2"/>
    <w:basedOn w:val="Normal"/>
    <w:next w:val="Normal"/>
    <w:link w:val="Heading2Char"/>
    <w:uiPriority w:val="99"/>
    <w:qFormat/>
    <w:rsid w:val="00491CD9"/>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362F"/>
    <w:rPr>
      <w:rFonts w:ascii="Times New Roman" w:hAnsi="Times New Roman" w:cs="Times New Roman"/>
      <w:color w:val="B4282E"/>
      <w:kern w:val="36"/>
      <w:sz w:val="48"/>
      <w:szCs w:val="48"/>
      <w:lang w:eastAsia="ru-RU"/>
    </w:rPr>
  </w:style>
  <w:style w:type="character" w:customStyle="1" w:styleId="Heading2Char">
    <w:name w:val="Heading 2 Char"/>
    <w:basedOn w:val="DefaultParagraphFont"/>
    <w:link w:val="Heading2"/>
    <w:uiPriority w:val="99"/>
    <w:semiHidden/>
    <w:locked/>
    <w:rsid w:val="00491CD9"/>
    <w:rPr>
      <w:rFonts w:ascii="Cambria" w:hAnsi="Cambria" w:cs="Times New Roman"/>
      <w:b/>
      <w:bCs/>
      <w:color w:val="4F81BD"/>
      <w:sz w:val="26"/>
      <w:szCs w:val="26"/>
      <w:lang w:eastAsia="ru-RU"/>
    </w:rPr>
  </w:style>
  <w:style w:type="character" w:styleId="Hyperlink">
    <w:name w:val="Hyperlink"/>
    <w:basedOn w:val="DefaultParagraphFont"/>
    <w:uiPriority w:val="99"/>
    <w:rsid w:val="00491CD9"/>
    <w:rPr>
      <w:rFonts w:cs="Times New Roman"/>
      <w:color w:val="1B73A4"/>
      <w:u w:val="none"/>
      <w:effect w:val="none"/>
    </w:rPr>
  </w:style>
  <w:style w:type="character" w:styleId="Strong">
    <w:name w:val="Strong"/>
    <w:basedOn w:val="DefaultParagraphFont"/>
    <w:uiPriority w:val="99"/>
    <w:qFormat/>
    <w:rsid w:val="00491CD9"/>
    <w:rPr>
      <w:rFonts w:cs="Times New Roman"/>
      <w:b/>
      <w:bCs/>
    </w:rPr>
  </w:style>
  <w:style w:type="character" w:customStyle="1" w:styleId="firstletter1">
    <w:name w:val="firstletter1"/>
    <w:basedOn w:val="DefaultParagraphFont"/>
    <w:uiPriority w:val="99"/>
    <w:rsid w:val="00491CD9"/>
    <w:rPr>
      <w:rFonts w:ascii="Arial" w:hAnsi="Arial" w:cs="Arial"/>
      <w:b/>
      <w:bCs/>
      <w:sz w:val="72"/>
      <w:szCs w:val="72"/>
    </w:rPr>
  </w:style>
  <w:style w:type="paragraph" w:customStyle="1" w:styleId="par">
    <w:name w:val="par"/>
    <w:basedOn w:val="Normal"/>
    <w:uiPriority w:val="99"/>
    <w:rsid w:val="00491CD9"/>
    <w:pPr>
      <w:spacing w:before="120" w:after="100" w:afterAutospacing="1"/>
    </w:pPr>
    <w:rPr>
      <w:sz w:val="30"/>
      <w:szCs w:val="30"/>
    </w:rPr>
  </w:style>
  <w:style w:type="paragraph" w:customStyle="1" w:styleId="date">
    <w:name w:val="date"/>
    <w:basedOn w:val="Normal"/>
    <w:uiPriority w:val="99"/>
    <w:rsid w:val="00491CD9"/>
    <w:pPr>
      <w:spacing w:before="100" w:beforeAutospacing="1" w:after="100" w:afterAutospacing="1"/>
    </w:pPr>
  </w:style>
  <w:style w:type="paragraph" w:styleId="BalloonText">
    <w:name w:val="Balloon Text"/>
    <w:basedOn w:val="Normal"/>
    <w:link w:val="BalloonTextChar"/>
    <w:uiPriority w:val="99"/>
    <w:semiHidden/>
    <w:rsid w:val="00491CD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91CD9"/>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ettings" Target="settings.xml"/><Relationship Id="rId7" Type="http://schemas.openxmlformats.org/officeDocument/2006/relationships/hyperlink" Target="java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 TargetMode="External"/><Relationship Id="rId5" Type="http://schemas.openxmlformats.org/officeDocument/2006/relationships/hyperlink" Target="javascrip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23</Pages>
  <Words>7095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Валерия</dc:creator>
  <cp:keywords/>
  <dc:description/>
  <cp:lastModifiedBy>LOVe</cp:lastModifiedBy>
  <cp:revision>6</cp:revision>
  <dcterms:created xsi:type="dcterms:W3CDTF">2017-10-25T12:05:00Z</dcterms:created>
  <dcterms:modified xsi:type="dcterms:W3CDTF">2017-10-25T16:53:00Z</dcterms:modified>
</cp:coreProperties>
</file>